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center" w:leader="none" w:pos="4419"/>
          <w:tab w:val="right" w:leader="none" w:pos="8838"/>
        </w:tabs>
        <w:jc w:val="left"/>
        <w:rPr>
          <w:rFonts w:ascii="Rubik Medium" w:cs="Rubik Medium" w:eastAsia="Rubik Medium" w:hAnsi="Rubik Medium"/>
          <w:sz w:val="30"/>
          <w:szCs w:val="30"/>
          <w:u w:val="single"/>
        </w:rPr>
      </w:pPr>
      <w:r w:rsidDel="00000000" w:rsidR="00000000" w:rsidRPr="00000000">
        <w:rPr>
          <w:rtl w:val="0"/>
        </w:rPr>
      </w:r>
    </w:p>
    <w:p w:rsidR="00000000" w:rsidDel="00000000" w:rsidP="00000000" w:rsidRDefault="00000000" w:rsidRPr="00000000" w14:paraId="00000002">
      <w:pPr>
        <w:tabs>
          <w:tab w:val="center" w:leader="none" w:pos="4419"/>
          <w:tab w:val="right" w:leader="none" w:pos="8838"/>
        </w:tabs>
        <w:jc w:val="center"/>
        <w:rPr>
          <w:rFonts w:ascii="Rubik Medium" w:cs="Rubik Medium" w:eastAsia="Rubik Medium" w:hAnsi="Rubik Medium"/>
          <w:color w:val="18ba5d"/>
          <w:sz w:val="34"/>
          <w:szCs w:val="34"/>
          <w:u w:val="single"/>
        </w:rPr>
      </w:pPr>
      <w:r w:rsidDel="00000000" w:rsidR="00000000" w:rsidRPr="00000000">
        <w:rPr>
          <w:rFonts w:ascii="Rubik Medium" w:cs="Rubik Medium" w:eastAsia="Rubik Medium" w:hAnsi="Rubik Medium"/>
          <w:sz w:val="30"/>
          <w:szCs w:val="30"/>
          <w:u w:val="single"/>
          <w:rtl w:val="0"/>
        </w:rPr>
        <w:t xml:space="preserve">Cierra el círculo 2024</w:t>
      </w:r>
      <w:r w:rsidDel="00000000" w:rsidR="00000000" w:rsidRPr="00000000">
        <w:rPr>
          <w:rtl w:val="0"/>
        </w:rPr>
      </w:r>
    </w:p>
    <w:p w:rsidR="00000000" w:rsidDel="00000000" w:rsidP="00000000" w:rsidRDefault="00000000" w:rsidRPr="00000000" w14:paraId="00000003">
      <w:pPr>
        <w:spacing w:line="276" w:lineRule="auto"/>
        <w:jc w:val="center"/>
        <w:rPr>
          <w:rFonts w:ascii="Arial" w:cs="Arial" w:eastAsia="Arial" w:hAnsi="Arial"/>
          <w:b w:val="1"/>
          <w:color w:val="6aa84f"/>
          <w:sz w:val="22"/>
          <w:szCs w:val="22"/>
        </w:rPr>
      </w:pPr>
      <w:r w:rsidDel="00000000" w:rsidR="00000000" w:rsidRPr="00000000">
        <w:rPr>
          <w:rFonts w:ascii="Rubik Medium" w:cs="Rubik Medium" w:eastAsia="Rubik Medium" w:hAnsi="Rubik Medium"/>
          <w:color w:val="18ba5d"/>
          <w:sz w:val="40"/>
          <w:szCs w:val="40"/>
          <w:rtl w:val="0"/>
        </w:rPr>
        <w:t xml:space="preserve">Andalucía, la Comunidad que más botellas de plástico ha ahorrado al medio ambiente gracias a la segunda mano</w:t>
      </w:r>
      <w:r w:rsidDel="00000000" w:rsidR="00000000" w:rsidRPr="00000000">
        <w:rPr>
          <w:rtl w:val="0"/>
        </w:rPr>
      </w:r>
    </w:p>
    <w:p w:rsidR="00000000" w:rsidDel="00000000" w:rsidP="00000000" w:rsidRDefault="00000000" w:rsidRPr="00000000" w14:paraId="00000004">
      <w:pPr>
        <w:spacing w:line="276" w:lineRule="auto"/>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5">
      <w:pPr>
        <w:tabs>
          <w:tab w:val="center" w:leader="none" w:pos="4419"/>
          <w:tab w:val="right" w:leader="none" w:pos="8838"/>
        </w:tabs>
        <w:jc w:val="both"/>
        <w:rPr>
          <w:rFonts w:ascii="Rubik Medium" w:cs="Rubik Medium" w:eastAsia="Rubik Medium" w:hAnsi="Rubik Medium"/>
          <w:color w:val="171d20"/>
          <w:sz w:val="26"/>
          <w:szCs w:val="26"/>
        </w:rPr>
      </w:pPr>
      <w:r w:rsidDel="00000000" w:rsidR="00000000" w:rsidRPr="00000000">
        <w:rPr>
          <w:rFonts w:ascii="Rubik Medium" w:cs="Rubik Medium" w:eastAsia="Rubik Medium" w:hAnsi="Rubik Medium"/>
          <w:color w:val="171d20"/>
          <w:sz w:val="26"/>
          <w:szCs w:val="26"/>
          <w:rtl w:val="0"/>
        </w:rPr>
        <w:t xml:space="preserve">La comunidad andaluza consiguió, gracias a las transacciones realizadas durante el año pasado, un ahorro potencial equivalente al consumo eléctrico anual de más de 3 mil hogares</w:t>
      </w:r>
    </w:p>
    <w:p w:rsidR="00000000" w:rsidDel="00000000" w:rsidP="00000000" w:rsidRDefault="00000000" w:rsidRPr="00000000" w14:paraId="00000006">
      <w:pPr>
        <w:spacing w:line="276" w:lineRule="auto"/>
        <w:ind w:left="0" w:firstLine="0"/>
        <w:rPr>
          <w:rFonts w:ascii="Rubik Medium" w:cs="Rubik Medium" w:eastAsia="Rubik Medium" w:hAnsi="Rubik Medium"/>
          <w:color w:val="171d20"/>
          <w:sz w:val="26"/>
          <w:szCs w:val="26"/>
        </w:rPr>
      </w:pPr>
      <w:r w:rsidDel="00000000" w:rsidR="00000000" w:rsidRPr="00000000">
        <w:rPr>
          <w:rtl w:val="0"/>
        </w:rPr>
      </w:r>
    </w:p>
    <w:p w:rsidR="00000000" w:rsidDel="00000000" w:rsidP="00000000" w:rsidRDefault="00000000" w:rsidRPr="00000000" w14:paraId="00000007">
      <w:pPr>
        <w:spacing w:line="276" w:lineRule="auto"/>
        <w:rPr>
          <w:rFonts w:ascii="Rubik Medium" w:cs="Rubik Medium" w:eastAsia="Rubik Medium" w:hAnsi="Rubik Medium"/>
          <w:color w:val="171d20"/>
          <w:sz w:val="26"/>
          <w:szCs w:val="26"/>
        </w:rPr>
      </w:pPr>
      <w:r w:rsidDel="00000000" w:rsidR="00000000" w:rsidRPr="00000000">
        <w:rPr>
          <w:rFonts w:ascii="Rubik Medium" w:cs="Rubik Medium" w:eastAsia="Rubik Medium" w:hAnsi="Rubik Medium"/>
          <w:color w:val="171d20"/>
          <w:sz w:val="26"/>
          <w:szCs w:val="26"/>
          <w:rtl w:val="0"/>
        </w:rPr>
        <w:t xml:space="preserve">‘Casa y Jardín’ es la categoría que más impacto medioambiental tiene, seguido de los productos de ’Deporte y Náutica’ e</w:t>
      </w:r>
    </w:p>
    <w:p w:rsidR="00000000" w:rsidDel="00000000" w:rsidP="00000000" w:rsidRDefault="00000000" w:rsidRPr="00000000" w14:paraId="00000008">
      <w:pPr>
        <w:spacing w:line="276" w:lineRule="auto"/>
        <w:rPr>
          <w:rFonts w:ascii="Rubik Medium" w:cs="Rubik Medium" w:eastAsia="Rubik Medium" w:hAnsi="Rubik Medium"/>
          <w:color w:val="171d20"/>
          <w:sz w:val="26"/>
          <w:szCs w:val="26"/>
        </w:rPr>
      </w:pPr>
      <w:r w:rsidDel="00000000" w:rsidR="00000000" w:rsidRPr="00000000">
        <w:rPr>
          <w:rFonts w:ascii="Rubik Medium" w:cs="Rubik Medium" w:eastAsia="Rubik Medium" w:hAnsi="Rubik Medium"/>
          <w:color w:val="171d20"/>
          <w:sz w:val="26"/>
          <w:szCs w:val="26"/>
          <w:rtl w:val="0"/>
        </w:rPr>
        <w:t xml:space="preserve">‘Informática’</w:t>
      </w:r>
    </w:p>
    <w:p w:rsidR="00000000" w:rsidDel="00000000" w:rsidP="00000000" w:rsidRDefault="00000000" w:rsidRPr="00000000" w14:paraId="00000009">
      <w:pPr>
        <w:spacing w:line="276" w:lineRule="auto"/>
        <w:rPr>
          <w:rFonts w:ascii="Rubik Medium" w:cs="Rubik Medium" w:eastAsia="Rubik Medium" w:hAnsi="Rubik Medium"/>
          <w:color w:val="171d20"/>
          <w:sz w:val="26"/>
          <w:szCs w:val="26"/>
        </w:rPr>
      </w:pPr>
      <w:r w:rsidDel="00000000" w:rsidR="00000000" w:rsidRPr="00000000">
        <w:rPr>
          <w:rtl w:val="0"/>
        </w:rPr>
      </w:r>
    </w:p>
    <w:p w:rsidR="00000000" w:rsidDel="00000000" w:rsidP="00000000" w:rsidRDefault="00000000" w:rsidRPr="00000000" w14:paraId="0000000A">
      <w:pPr>
        <w:spacing w:line="276" w:lineRule="auto"/>
        <w:rPr>
          <w:rFonts w:ascii="Rubik Medium" w:cs="Rubik Medium" w:eastAsia="Rubik Medium" w:hAnsi="Rubik Medium"/>
          <w:sz w:val="26"/>
          <w:szCs w:val="26"/>
          <w:highlight w:val="white"/>
        </w:rPr>
      </w:pPr>
      <w:r w:rsidDel="00000000" w:rsidR="00000000" w:rsidRPr="00000000">
        <w:rPr>
          <w:rFonts w:ascii="Rubik Medium" w:cs="Rubik Medium" w:eastAsia="Rubik Medium" w:hAnsi="Rubik Medium"/>
          <w:color w:val="171d20"/>
          <w:sz w:val="26"/>
          <w:szCs w:val="26"/>
          <w:rtl w:val="0"/>
        </w:rPr>
        <w:t xml:space="preserve">Las </w:t>
      </w:r>
      <w:r w:rsidDel="00000000" w:rsidR="00000000" w:rsidRPr="00000000">
        <w:rPr>
          <w:rFonts w:ascii="Rubik Medium" w:cs="Rubik Medium" w:eastAsia="Rubik Medium" w:hAnsi="Rubik Medium"/>
          <w:i w:val="1"/>
          <w:sz w:val="26"/>
          <w:szCs w:val="26"/>
          <w:highlight w:val="white"/>
          <w:rtl w:val="0"/>
        </w:rPr>
        <w:t xml:space="preserve">bicis de montaña, </w:t>
      </w:r>
      <w:r w:rsidDel="00000000" w:rsidR="00000000" w:rsidRPr="00000000">
        <w:rPr>
          <w:rFonts w:ascii="Rubik Medium" w:cs="Rubik Medium" w:eastAsia="Rubik Medium" w:hAnsi="Rubik Medium"/>
          <w:i w:val="1"/>
          <w:sz w:val="26"/>
          <w:szCs w:val="26"/>
          <w:highlight w:val="white"/>
          <w:rtl w:val="0"/>
        </w:rPr>
        <w:t xml:space="preserve">frigoríficos, congeladores, lavadoras y bicis de niños </w:t>
      </w:r>
      <w:r w:rsidDel="00000000" w:rsidR="00000000" w:rsidRPr="00000000">
        <w:rPr>
          <w:rFonts w:ascii="Rubik Medium" w:cs="Rubik Medium" w:eastAsia="Rubik Medium" w:hAnsi="Rubik Medium"/>
          <w:sz w:val="26"/>
          <w:szCs w:val="26"/>
          <w:highlight w:val="white"/>
          <w:rtl w:val="0"/>
        </w:rPr>
        <w:t xml:space="preserve">se sitúan en el ránking de los productos reutilizados con más impacto sostenible en Andalucía</w:t>
      </w:r>
    </w:p>
    <w:p w:rsidR="00000000" w:rsidDel="00000000" w:rsidP="00000000" w:rsidRDefault="00000000" w:rsidRPr="00000000" w14:paraId="0000000B">
      <w:pPr>
        <w:spacing w:line="276" w:lineRule="auto"/>
        <w:rPr>
          <w:rFonts w:ascii="Rubik Medium" w:cs="Rubik Medium" w:eastAsia="Rubik Medium" w:hAnsi="Rubik Medium"/>
          <w:color w:val="171d20"/>
          <w:sz w:val="26"/>
          <w:szCs w:val="26"/>
        </w:rPr>
      </w:pPr>
      <w:r w:rsidDel="00000000" w:rsidR="00000000" w:rsidRPr="00000000">
        <w:rPr>
          <w:rtl w:val="0"/>
        </w:rPr>
      </w:r>
    </w:p>
    <w:p w:rsidR="00000000" w:rsidDel="00000000" w:rsidP="00000000" w:rsidRDefault="00000000" w:rsidRPr="00000000" w14:paraId="0000000C">
      <w:pPr>
        <w:spacing w:line="276" w:lineRule="auto"/>
        <w:jc w:val="center"/>
        <w:rPr>
          <w:rFonts w:ascii="Rubik" w:cs="Rubik" w:eastAsia="Rubik" w:hAnsi="Rubik"/>
          <w:b w:val="1"/>
          <w:color w:val="171d20"/>
          <w:sz w:val="22"/>
          <w:szCs w:val="22"/>
        </w:rPr>
      </w:pPr>
      <w:r w:rsidDel="00000000" w:rsidR="00000000" w:rsidRPr="00000000">
        <w:rPr>
          <w:rFonts w:ascii="Rubik" w:cs="Rubik" w:eastAsia="Rubik" w:hAnsi="Rubik"/>
          <w:b w:val="1"/>
          <w:color w:val="171d20"/>
          <w:sz w:val="22"/>
          <w:szCs w:val="22"/>
          <w:rtl w:val="0"/>
        </w:rPr>
        <w:t xml:space="preserve">Acceso al Informe </w:t>
      </w:r>
      <w:hyperlink r:id="rId8">
        <w:r w:rsidDel="00000000" w:rsidR="00000000" w:rsidRPr="00000000">
          <w:rPr>
            <w:rFonts w:ascii="Rubik" w:cs="Rubik" w:eastAsia="Rubik" w:hAnsi="Rubik"/>
            <w:b w:val="1"/>
            <w:color w:val="1155cc"/>
            <w:sz w:val="22"/>
            <w:szCs w:val="22"/>
            <w:u w:val="single"/>
            <w:rtl w:val="0"/>
          </w:rPr>
          <w:t xml:space="preserve">“El Efecto Medioambiental de la Segunda Mano”</w:t>
        </w:r>
      </w:hyperlink>
      <w:r w:rsidDel="00000000" w:rsidR="00000000" w:rsidRPr="00000000">
        <w:rPr>
          <w:rFonts w:ascii="Rubik" w:cs="Rubik" w:eastAsia="Rubik" w:hAnsi="Rubik"/>
          <w:b w:val="1"/>
          <w:color w:val="171d20"/>
          <w:sz w:val="22"/>
          <w:szCs w:val="22"/>
          <w:rtl w:val="0"/>
        </w:rPr>
        <w:t xml:space="preserve"> </w:t>
      </w:r>
    </w:p>
    <w:p w:rsidR="00000000" w:rsidDel="00000000" w:rsidP="00000000" w:rsidRDefault="00000000" w:rsidRPr="00000000" w14:paraId="0000000D">
      <w:pPr>
        <w:spacing w:before="240" w:line="276" w:lineRule="auto"/>
        <w:jc w:val="both"/>
        <w:rPr>
          <w:rFonts w:ascii="Rubik" w:cs="Rubik" w:eastAsia="Rubik" w:hAnsi="Rubik"/>
          <w:highlight w:val="white"/>
        </w:rPr>
      </w:pPr>
      <w:bookmarkStart w:colFirst="0" w:colLast="0" w:name="_heading=h.1fob9te" w:id="0"/>
      <w:bookmarkEnd w:id="0"/>
      <w:r w:rsidDel="00000000" w:rsidR="00000000" w:rsidRPr="00000000">
        <w:rPr>
          <w:rFonts w:ascii="Rubik" w:cs="Rubik" w:eastAsia="Rubik" w:hAnsi="Rubik"/>
          <w:highlight w:val="white"/>
          <w:rtl w:val="0"/>
        </w:rPr>
        <w:t xml:space="preserve">Las emisiones de </w:t>
      </w:r>
      <w:r w:rsidDel="00000000" w:rsidR="00000000" w:rsidRPr="00000000">
        <w:rPr>
          <w:rFonts w:ascii="Rubik" w:cs="Rubik" w:eastAsia="Rubik" w:hAnsi="Rubik"/>
          <w:color w:val="171d20"/>
          <w:rtl w:val="0"/>
        </w:rPr>
        <w:t xml:space="preserve">CO₂ </w:t>
      </w:r>
      <w:r w:rsidDel="00000000" w:rsidR="00000000" w:rsidRPr="00000000">
        <w:rPr>
          <w:rFonts w:ascii="Rubik" w:cs="Rubik" w:eastAsia="Rubik" w:hAnsi="Rubik"/>
          <w:highlight w:val="white"/>
          <w:rtl w:val="0"/>
        </w:rPr>
        <w:t xml:space="preserve">a la atmósfera  son una de las problemáticas que más incertidumbre generan a los españoles, en lo relativo a la sostenibilidad y al cambio climático. Uno de los objetivos de la Agenda 2030 es reducir estas emisiones, al menos, en un 55% que las que había en 1990. Según los datos del “Estudio de emisiones adelantadas 2023”</w:t>
      </w:r>
      <w:r w:rsidDel="00000000" w:rsidR="00000000" w:rsidRPr="00000000">
        <w:rPr>
          <w:rFonts w:ascii="Rubik" w:cs="Rubik" w:eastAsia="Rubik" w:hAnsi="Rubik"/>
          <w:color w:val="333333"/>
          <w:highlight w:val="white"/>
          <w:vertAlign w:val="superscript"/>
        </w:rPr>
        <w:footnoteReference w:customMarkFollows="0" w:id="0"/>
      </w:r>
      <w:r w:rsidDel="00000000" w:rsidR="00000000" w:rsidRPr="00000000">
        <w:rPr>
          <w:rFonts w:ascii="Rubik" w:cs="Rubik" w:eastAsia="Rubik" w:hAnsi="Rubik"/>
          <w:color w:val="333333"/>
          <w:highlight w:val="white"/>
          <w:rtl w:val="0"/>
        </w:rPr>
        <w:t xml:space="preserve"> -</w:t>
      </w:r>
      <w:r w:rsidDel="00000000" w:rsidR="00000000" w:rsidRPr="00000000">
        <w:rPr>
          <w:rFonts w:ascii="Rubik" w:cs="Rubik" w:eastAsia="Rubik" w:hAnsi="Rubik"/>
          <w:highlight w:val="white"/>
          <w:rtl w:val="0"/>
        </w:rPr>
        <w:t xml:space="preserve">publicado por Basque Centre for Climate Change-, </w:t>
      </w:r>
      <w:r w:rsidDel="00000000" w:rsidR="00000000" w:rsidRPr="00000000">
        <w:rPr>
          <w:rFonts w:ascii="Rubik" w:cs="Rubik" w:eastAsia="Rubik" w:hAnsi="Rubik"/>
          <w:b w:val="1"/>
          <w:highlight w:val="white"/>
          <w:rtl w:val="0"/>
        </w:rPr>
        <w:t xml:space="preserve">las emisiones en España a lo largo de 2023 fueron 272 millones de toneladas de </w:t>
      </w:r>
      <w:r w:rsidDel="00000000" w:rsidR="00000000" w:rsidRPr="00000000">
        <w:rPr>
          <w:rFonts w:ascii="Rubik" w:cs="Rubik" w:eastAsia="Rubik" w:hAnsi="Rubik"/>
          <w:b w:val="1"/>
          <w:color w:val="171d20"/>
          <w:rtl w:val="0"/>
        </w:rPr>
        <w:t xml:space="preserve">CO₂</w:t>
      </w:r>
      <w:r w:rsidDel="00000000" w:rsidR="00000000" w:rsidRPr="00000000">
        <w:rPr>
          <w:rFonts w:ascii="Rubik" w:cs="Rubik" w:eastAsia="Rubik" w:hAnsi="Rubik"/>
          <w:highlight w:val="white"/>
          <w:rtl w:val="0"/>
        </w:rPr>
        <w:t xml:space="preserve">. En el caso de los plásticos, ocurre lo mismo. </w:t>
      </w:r>
      <w:r w:rsidDel="00000000" w:rsidR="00000000" w:rsidRPr="00000000">
        <w:rPr>
          <w:rFonts w:ascii="Rubik" w:cs="Rubik" w:eastAsia="Rubik" w:hAnsi="Rubik"/>
          <w:b w:val="1"/>
          <w:highlight w:val="white"/>
          <w:rtl w:val="0"/>
        </w:rPr>
        <w:t xml:space="preserve">Cada año se producen 430 toneladas de plástico</w:t>
      </w:r>
      <w:r w:rsidDel="00000000" w:rsidR="00000000" w:rsidRPr="00000000">
        <w:rPr>
          <w:rFonts w:ascii="Rubik" w:cs="Rubik" w:eastAsia="Rubik" w:hAnsi="Rubik"/>
          <w:highlight w:val="white"/>
          <w:rtl w:val="0"/>
        </w:rPr>
        <w:t xml:space="preserve"> y dos tercios de estos son destinados para un uso de un corto espacio de tiempo, lo que conlleva a un gran excedente de desechos que en gran parte acaban en el mar. Ante esta situación, desde la Agenda 2030 se centran en que para dicho año todos los plásticos producidos sean reciclables.</w:t>
      </w:r>
    </w:p>
    <w:p w:rsidR="00000000" w:rsidDel="00000000" w:rsidP="00000000" w:rsidRDefault="00000000" w:rsidRPr="00000000" w14:paraId="0000000E">
      <w:pPr>
        <w:spacing w:before="240" w:line="276" w:lineRule="auto"/>
        <w:jc w:val="both"/>
        <w:rPr>
          <w:rFonts w:ascii="Rubik" w:cs="Rubik" w:eastAsia="Rubik" w:hAnsi="Rubik"/>
          <w:highlight w:val="white"/>
        </w:rPr>
      </w:pPr>
      <w:r w:rsidDel="00000000" w:rsidR="00000000" w:rsidRPr="00000000">
        <w:rPr>
          <w:rFonts w:ascii="Rubik" w:cs="Rubik" w:eastAsia="Rubik" w:hAnsi="Rubik"/>
          <w:highlight w:val="white"/>
          <w:rtl w:val="0"/>
        </w:rPr>
        <w:t xml:space="preserve">En busca de alcanzar estos objetivos, la población española cada vez está más concienciada y adapta nuevos hábitos para revertir esta situación. Por ello, </w:t>
      </w:r>
      <w:r w:rsidDel="00000000" w:rsidR="00000000" w:rsidRPr="00000000">
        <w:rPr>
          <w:rFonts w:ascii="Rubik" w:cs="Rubik" w:eastAsia="Rubik" w:hAnsi="Rubik"/>
          <w:color w:val="171d20"/>
          <w:rtl w:val="0"/>
        </w:rPr>
        <w:t xml:space="preserve">cada vez son más las personas que optan por </w:t>
      </w:r>
      <w:r w:rsidDel="00000000" w:rsidR="00000000" w:rsidRPr="00000000">
        <w:rPr>
          <w:rFonts w:ascii="Rubik" w:cs="Rubik" w:eastAsia="Rubik" w:hAnsi="Rubik"/>
          <w:highlight w:val="white"/>
          <w:rtl w:val="0"/>
        </w:rPr>
        <w:t xml:space="preserve">la compraventa de productos en segunda mano como medida que ayuda a reducir el consumo y la nueva producción, así como ampliar la vida útil de los bienes. Así, </w:t>
      </w:r>
      <w:hyperlink r:id="rId9">
        <w:r w:rsidDel="00000000" w:rsidR="00000000" w:rsidRPr="00000000">
          <w:rPr>
            <w:rFonts w:ascii="Rubik" w:cs="Rubik" w:eastAsia="Rubik" w:hAnsi="Rubik"/>
            <w:b w:val="1"/>
            <w:color w:val="1155cc"/>
            <w:highlight w:val="white"/>
            <w:u w:val="single"/>
            <w:rtl w:val="0"/>
          </w:rPr>
          <w:t xml:space="preserve">Milanuncios</w:t>
        </w:r>
      </w:hyperlink>
      <w:r w:rsidDel="00000000" w:rsidR="00000000" w:rsidRPr="00000000">
        <w:rPr>
          <w:rFonts w:ascii="Rubik" w:cs="Rubik" w:eastAsia="Rubik" w:hAnsi="Rubik"/>
          <w:b w:val="1"/>
          <w:highlight w:val="white"/>
          <w:rtl w:val="0"/>
        </w:rPr>
        <w:t xml:space="preserve">, la app con más experiencia del mercado de la segunda mano,</w:t>
      </w:r>
      <w:r w:rsidDel="00000000" w:rsidR="00000000" w:rsidRPr="00000000">
        <w:rPr>
          <w:rFonts w:ascii="Rubik" w:cs="Rubik" w:eastAsia="Rubik" w:hAnsi="Rubik"/>
          <w:highlight w:val="white"/>
          <w:rtl w:val="0"/>
        </w:rPr>
        <w:t xml:space="preserve"> ha presentado sus resultados de</w:t>
      </w:r>
      <w:r w:rsidDel="00000000" w:rsidR="00000000" w:rsidRPr="00000000">
        <w:rPr>
          <w:rFonts w:ascii="Rubik" w:cs="Rubik" w:eastAsia="Rubik" w:hAnsi="Rubik"/>
          <w:b w:val="1"/>
          <w:highlight w:val="white"/>
          <w:rtl w:val="0"/>
        </w:rPr>
        <w:t xml:space="preserve"> “Cierra el círculo 2024</w:t>
      </w:r>
      <w:r w:rsidDel="00000000" w:rsidR="00000000" w:rsidRPr="00000000">
        <w:rPr>
          <w:rFonts w:ascii="Rubik" w:cs="Rubik" w:eastAsia="Rubik" w:hAnsi="Rubik"/>
          <w:highlight w:val="white"/>
          <w:rtl w:val="0"/>
        </w:rPr>
        <w:t xml:space="preserve">”, un</w:t>
      </w:r>
      <w:r w:rsidDel="00000000" w:rsidR="00000000" w:rsidRPr="00000000">
        <w:rPr>
          <w:rFonts w:ascii="Rubik" w:cs="Rubik" w:eastAsia="Rubik" w:hAnsi="Rubik"/>
          <w:color w:val="171d20"/>
          <w:rtl w:val="0"/>
        </w:rPr>
        <w:t xml:space="preserve"> estudio sobre </w:t>
      </w:r>
      <w:r w:rsidDel="00000000" w:rsidR="00000000" w:rsidRPr="00000000">
        <w:rPr>
          <w:rFonts w:ascii="Rubik" w:cs="Rubik" w:eastAsia="Rubik" w:hAnsi="Rubik"/>
          <w:b w:val="1"/>
          <w:color w:val="171d20"/>
          <w:rtl w:val="0"/>
        </w:rPr>
        <w:t xml:space="preserve">el efecto medioambiental de la segunda mano en España</w:t>
      </w:r>
      <w:r w:rsidDel="00000000" w:rsidR="00000000" w:rsidRPr="00000000">
        <w:rPr>
          <w:rFonts w:ascii="Rubik" w:cs="Rubik" w:eastAsia="Rubik" w:hAnsi="Rubik"/>
          <w:color w:val="171d20"/>
          <w:rtl w:val="0"/>
        </w:rPr>
        <w:t xml:space="preserve">, a nivel nacional y regional tanto por categorías como por habitantes,</w:t>
      </w:r>
      <w:r w:rsidDel="00000000" w:rsidR="00000000" w:rsidRPr="00000000">
        <w:rPr>
          <w:rFonts w:ascii="Rubik" w:cs="Rubik" w:eastAsia="Rubik" w:hAnsi="Rubik"/>
          <w:highlight w:val="white"/>
          <w:rtl w:val="0"/>
        </w:rPr>
        <w:t xml:space="preserve"> elaborado conjuntamente por Milanuncios y el equipo especializado de Vaayu a nivel internacional, teniendo en cuenta factores como las emisiones relacionadas a la producción y distribución, entrega y embalaje y la sustituibilidad de un artículo de segunda mano por uno nuevo.</w:t>
      </w:r>
    </w:p>
    <w:p w:rsidR="00000000" w:rsidDel="00000000" w:rsidP="00000000" w:rsidRDefault="00000000" w:rsidRPr="00000000" w14:paraId="0000000F">
      <w:pPr>
        <w:spacing w:before="240" w:line="276" w:lineRule="auto"/>
        <w:jc w:val="both"/>
        <w:rPr>
          <w:rFonts w:ascii="Rubik" w:cs="Rubik" w:eastAsia="Rubik" w:hAnsi="Rubik"/>
          <w:highlight w:val="white"/>
        </w:rPr>
      </w:pPr>
      <w:r w:rsidDel="00000000" w:rsidR="00000000" w:rsidRPr="00000000">
        <w:rPr>
          <w:rFonts w:ascii="Rubik" w:cs="Rubik" w:eastAsia="Rubik" w:hAnsi="Rubik"/>
          <w:highlight w:val="white"/>
          <w:rtl w:val="0"/>
        </w:rPr>
        <w:t xml:space="preserve">Según este estudio, el uso de la segunda mano, además de un evidente ahorro monetario, supone un importante ahorro de producción, materiales y recursos. En el caso de los plásticos, uno de los materiales más contaminantes del planeta, más de ocho millones de toneladas de ellos acaban cada año en los océanos, según datos de Greenpeace. Por su parte, la segunda mano en España en 2023 a través de Milanuncios ha significado el ahorro potencial de</w:t>
      </w:r>
      <w:r w:rsidDel="00000000" w:rsidR="00000000" w:rsidRPr="00000000">
        <w:rPr>
          <w:rFonts w:ascii="Rubik" w:cs="Rubik" w:eastAsia="Rubik" w:hAnsi="Rubik"/>
          <w:b w:val="1"/>
          <w:highlight w:val="white"/>
          <w:rtl w:val="0"/>
        </w:rPr>
        <w:t xml:space="preserve"> 7.606,77 toneladas de </w:t>
      </w:r>
      <w:r w:rsidDel="00000000" w:rsidR="00000000" w:rsidRPr="00000000">
        <w:rPr>
          <w:rFonts w:ascii="Rubik" w:cs="Rubik" w:eastAsia="Rubik" w:hAnsi="Rubik"/>
          <w:b w:val="1"/>
          <w:color w:val="171d20"/>
          <w:rtl w:val="0"/>
        </w:rPr>
        <w:t xml:space="preserve">CO₂</w:t>
      </w:r>
      <w:r w:rsidDel="00000000" w:rsidR="00000000" w:rsidRPr="00000000">
        <w:rPr>
          <w:rFonts w:ascii="Rubik" w:cs="Rubik" w:eastAsia="Rubik" w:hAnsi="Rubik"/>
          <w:color w:val="171d20"/>
          <w:rtl w:val="0"/>
        </w:rPr>
        <w:t xml:space="preserve">. A nivel global, supone</w:t>
      </w:r>
      <w:r w:rsidDel="00000000" w:rsidR="00000000" w:rsidRPr="00000000">
        <w:rPr>
          <w:rFonts w:ascii="Rubik" w:cs="Rubik" w:eastAsia="Rubik" w:hAnsi="Rubik"/>
          <w:highlight w:val="white"/>
          <w:rtl w:val="0"/>
        </w:rPr>
        <w:t xml:space="preserve"> un equivalente a la producción de </w:t>
      </w:r>
      <w:r w:rsidDel="00000000" w:rsidR="00000000" w:rsidRPr="00000000">
        <w:rPr>
          <w:rFonts w:ascii="Rubik" w:cs="Rubik" w:eastAsia="Rubik" w:hAnsi="Rubik"/>
          <w:b w:val="1"/>
          <w:highlight w:val="white"/>
          <w:rtl w:val="0"/>
        </w:rPr>
        <w:t xml:space="preserve">11.702.724 botellas de plástico</w:t>
      </w:r>
      <w:r w:rsidDel="00000000" w:rsidR="00000000" w:rsidRPr="00000000">
        <w:rPr>
          <w:rFonts w:ascii="Rubik" w:cs="Rubik" w:eastAsia="Rubik" w:hAnsi="Rubik"/>
          <w:highlight w:val="white"/>
          <w:rtl w:val="0"/>
        </w:rPr>
        <w:t xml:space="preserve">, lo que sería lo mismo a que por cada transacción se ha evitado la fabricación de </w:t>
      </w:r>
      <w:r w:rsidDel="00000000" w:rsidR="00000000" w:rsidRPr="00000000">
        <w:rPr>
          <w:rFonts w:ascii="Rubik" w:cs="Rubik" w:eastAsia="Rubik" w:hAnsi="Rubik"/>
          <w:b w:val="1"/>
          <w:highlight w:val="white"/>
          <w:rtl w:val="0"/>
        </w:rPr>
        <w:t xml:space="preserve">14 botellas. </w:t>
      </w:r>
      <w:r w:rsidDel="00000000" w:rsidR="00000000" w:rsidRPr="00000000">
        <w:rPr>
          <w:rtl w:val="0"/>
        </w:rPr>
      </w:r>
    </w:p>
    <w:p w:rsidR="00000000" w:rsidDel="00000000" w:rsidP="00000000" w:rsidRDefault="00000000" w:rsidRPr="00000000" w14:paraId="00000010">
      <w:pPr>
        <w:spacing w:before="240" w:line="276" w:lineRule="auto"/>
        <w:jc w:val="both"/>
        <w:rPr>
          <w:rFonts w:ascii="Rubik" w:cs="Rubik" w:eastAsia="Rubik" w:hAnsi="Rubik"/>
          <w:b w:val="1"/>
          <w:highlight w:val="white"/>
        </w:rPr>
      </w:pPr>
      <w:r w:rsidDel="00000000" w:rsidR="00000000" w:rsidRPr="00000000">
        <w:rPr>
          <w:rFonts w:ascii="Rubik" w:cs="Rubik" w:eastAsia="Rubik" w:hAnsi="Rubik"/>
          <w:highlight w:val="white"/>
          <w:rtl w:val="0"/>
        </w:rPr>
        <w:t xml:space="preserve">Asimismo, la segunda mano supuso un ahorro equivalente a las emisiones a </w:t>
      </w:r>
      <w:r w:rsidDel="00000000" w:rsidR="00000000" w:rsidRPr="00000000">
        <w:rPr>
          <w:rFonts w:ascii="Rubik" w:cs="Rubik" w:eastAsia="Rubik" w:hAnsi="Rubik"/>
          <w:b w:val="1"/>
          <w:highlight w:val="white"/>
          <w:rtl w:val="0"/>
        </w:rPr>
        <w:t xml:space="preserve">4.455 viajes en avión</w:t>
      </w:r>
      <w:r w:rsidDel="00000000" w:rsidR="00000000" w:rsidRPr="00000000">
        <w:rPr>
          <w:rFonts w:ascii="Rubik" w:cs="Rubik" w:eastAsia="Rubik" w:hAnsi="Rubik"/>
          <w:highlight w:val="white"/>
          <w:rtl w:val="0"/>
        </w:rPr>
        <w:t xml:space="preserve"> de ida y vuelta de </w:t>
      </w:r>
      <w:r w:rsidDel="00000000" w:rsidR="00000000" w:rsidRPr="00000000">
        <w:rPr>
          <w:rFonts w:ascii="Rubik" w:cs="Rubik" w:eastAsia="Rubik" w:hAnsi="Rubik"/>
          <w:b w:val="1"/>
          <w:highlight w:val="white"/>
          <w:rtl w:val="0"/>
        </w:rPr>
        <w:t xml:space="preserve">Madrid a Nueva York,</w:t>
      </w:r>
      <w:r w:rsidDel="00000000" w:rsidR="00000000" w:rsidRPr="00000000">
        <w:rPr>
          <w:rFonts w:ascii="Rubik" w:cs="Rubik" w:eastAsia="Rubik" w:hAnsi="Rubik"/>
          <w:highlight w:val="white"/>
          <w:rtl w:val="0"/>
        </w:rPr>
        <w:t xml:space="preserve"> lo que también es equivalente al consumo energético anual de </w:t>
      </w:r>
      <w:r w:rsidDel="00000000" w:rsidR="00000000" w:rsidRPr="00000000">
        <w:rPr>
          <w:rFonts w:ascii="Rubik" w:cs="Rubik" w:eastAsia="Rubik" w:hAnsi="Rubik"/>
          <w:b w:val="1"/>
          <w:highlight w:val="white"/>
          <w:rtl w:val="0"/>
        </w:rPr>
        <w:t xml:space="preserve">10.923 hogares en todo el país.</w:t>
      </w:r>
    </w:p>
    <w:p w:rsidR="00000000" w:rsidDel="00000000" w:rsidP="00000000" w:rsidRDefault="00000000" w:rsidRPr="00000000" w14:paraId="00000011">
      <w:pPr>
        <w:spacing w:before="240" w:line="276" w:lineRule="auto"/>
        <w:jc w:val="both"/>
        <w:rPr>
          <w:rFonts w:ascii="Rubik" w:cs="Rubik" w:eastAsia="Rubik" w:hAnsi="Rubik"/>
          <w:b w:val="1"/>
          <w:highlight w:val="white"/>
          <w:u w:val="single"/>
        </w:rPr>
      </w:pPr>
      <w:bookmarkStart w:colFirst="0" w:colLast="0" w:name="_heading=h.uyvdlvrr7f8b" w:id="1"/>
      <w:bookmarkEnd w:id="1"/>
      <w:r w:rsidDel="00000000" w:rsidR="00000000" w:rsidRPr="00000000">
        <w:rPr>
          <w:rFonts w:ascii="Rubik" w:cs="Rubik" w:eastAsia="Rubik" w:hAnsi="Rubik"/>
          <w:b w:val="1"/>
          <w:color w:val="171d20"/>
          <w:u w:val="single"/>
          <w:rtl w:val="0"/>
        </w:rPr>
        <w:t xml:space="preserve">Andalucía, la más comprometida con la segunda mano y el planeta</w:t>
      </w:r>
      <w:r w:rsidDel="00000000" w:rsidR="00000000" w:rsidRPr="00000000">
        <w:rPr>
          <w:rtl w:val="0"/>
        </w:rPr>
      </w:r>
    </w:p>
    <w:p w:rsidR="00000000" w:rsidDel="00000000" w:rsidP="00000000" w:rsidRDefault="00000000" w:rsidRPr="00000000" w14:paraId="00000012">
      <w:pPr>
        <w:spacing w:before="240" w:line="276" w:lineRule="auto"/>
        <w:jc w:val="both"/>
        <w:rPr>
          <w:rFonts w:ascii="Rubik" w:cs="Rubik" w:eastAsia="Rubik" w:hAnsi="Rubik"/>
          <w:color w:val="171d20"/>
        </w:rPr>
      </w:pPr>
      <w:bookmarkStart w:colFirst="0" w:colLast="0" w:name="_heading=h.26in1rg" w:id="2"/>
      <w:bookmarkEnd w:id="2"/>
      <w:r w:rsidDel="00000000" w:rsidR="00000000" w:rsidRPr="00000000">
        <w:rPr>
          <w:rFonts w:ascii="Rubik" w:cs="Rubik" w:eastAsia="Rubik" w:hAnsi="Rubik"/>
          <w:color w:val="171d20"/>
          <w:rtl w:val="0"/>
        </w:rPr>
        <w:t xml:space="preserve">El informe “Cierra el círculo 2024” registra, además, el </w:t>
      </w:r>
      <w:r w:rsidDel="00000000" w:rsidR="00000000" w:rsidRPr="00000000">
        <w:rPr>
          <w:rFonts w:ascii="Rubik" w:cs="Rubik" w:eastAsia="Rubik" w:hAnsi="Rubik"/>
          <w:b w:val="1"/>
          <w:color w:val="171d20"/>
          <w:rtl w:val="0"/>
        </w:rPr>
        <w:t xml:space="preserve">ahorro potencial de emisiones de cada comunidad autónoma</w:t>
      </w:r>
      <w:r w:rsidDel="00000000" w:rsidR="00000000" w:rsidRPr="00000000">
        <w:rPr>
          <w:rFonts w:ascii="Rubik" w:cs="Rubik" w:eastAsia="Rubik" w:hAnsi="Rubik"/>
          <w:color w:val="171d20"/>
          <w:rtl w:val="0"/>
        </w:rPr>
        <w:t xml:space="preserve">.</w:t>
      </w:r>
    </w:p>
    <w:p w:rsidR="00000000" w:rsidDel="00000000" w:rsidP="00000000" w:rsidRDefault="00000000" w:rsidRPr="00000000" w14:paraId="00000013">
      <w:pPr>
        <w:spacing w:before="240" w:line="276" w:lineRule="auto"/>
        <w:jc w:val="both"/>
        <w:rPr>
          <w:rFonts w:ascii="Rubik" w:cs="Rubik" w:eastAsia="Rubik" w:hAnsi="Rubik"/>
          <w:color w:val="171d20"/>
        </w:rPr>
      </w:pPr>
      <w:bookmarkStart w:colFirst="0" w:colLast="0" w:name="_heading=h.ne4w13mdq6mg" w:id="3"/>
      <w:bookmarkEnd w:id="3"/>
      <w:r w:rsidDel="00000000" w:rsidR="00000000" w:rsidRPr="00000000">
        <w:rPr>
          <w:rFonts w:ascii="Rubik" w:cs="Rubik" w:eastAsia="Rubik" w:hAnsi="Rubik"/>
          <w:color w:val="171d20"/>
          <w:rtl w:val="0"/>
        </w:rPr>
        <w:t xml:space="preserve">Según los datos de Milanuncios y tras analizar todas las CCAA,</w:t>
      </w:r>
      <w:r w:rsidDel="00000000" w:rsidR="00000000" w:rsidRPr="00000000">
        <w:rPr>
          <w:rFonts w:ascii="Rubik" w:cs="Rubik" w:eastAsia="Rubik" w:hAnsi="Rubik"/>
          <w:b w:val="1"/>
          <w:color w:val="171d20"/>
          <w:rtl w:val="0"/>
        </w:rPr>
        <w:t xml:space="preserve"> Andalucía es la Comunidad Autónoma que más botellas de plástico ha ahorrado al medio ambiente gracias a la segunda mano.</w:t>
      </w:r>
      <w:r w:rsidDel="00000000" w:rsidR="00000000" w:rsidRPr="00000000">
        <w:rPr>
          <w:rFonts w:ascii="Rubik" w:cs="Rubik" w:eastAsia="Rubik" w:hAnsi="Rubik"/>
          <w:color w:val="171d20"/>
          <w:rtl w:val="0"/>
        </w:rPr>
        <w:t xml:space="preserve"> En concreto, a través de las transacciones llevadas a cabo el pasado año, la región andaluza es responsable del potencial ahorro de más de </w:t>
      </w:r>
      <w:r w:rsidDel="00000000" w:rsidR="00000000" w:rsidRPr="00000000">
        <w:rPr>
          <w:rFonts w:ascii="Rubik" w:cs="Rubik" w:eastAsia="Rubik" w:hAnsi="Rubik"/>
          <w:color w:val="171d20"/>
          <w:rtl w:val="0"/>
        </w:rPr>
        <w:t xml:space="preserve">3.302.406 botellas de plástico</w:t>
      </w:r>
      <w:r w:rsidDel="00000000" w:rsidR="00000000" w:rsidRPr="00000000">
        <w:rPr>
          <w:rFonts w:ascii="Rubik" w:cs="Rubik" w:eastAsia="Rubik" w:hAnsi="Rubik"/>
          <w:color w:val="171d20"/>
          <w:rtl w:val="0"/>
        </w:rPr>
        <w:t xml:space="preserve">, el equivalente a más de </w:t>
      </w:r>
      <w:r w:rsidDel="00000000" w:rsidR="00000000" w:rsidRPr="00000000">
        <w:rPr>
          <w:rFonts w:ascii="Rubik" w:cs="Rubik" w:eastAsia="Rubik" w:hAnsi="Rubik"/>
          <w:color w:val="171d20"/>
          <w:rtl w:val="0"/>
        </w:rPr>
        <w:t xml:space="preserve">2.146 toneladas de CO₂.</w:t>
      </w:r>
      <w:r w:rsidDel="00000000" w:rsidR="00000000" w:rsidRPr="00000000">
        <w:rPr>
          <w:rFonts w:ascii="Rubik" w:cs="Rubik" w:eastAsia="Rubik" w:hAnsi="Rubik"/>
          <w:color w:val="171d20"/>
          <w:rtl w:val="0"/>
        </w:rPr>
        <w:t xml:space="preserve"> </w:t>
      </w:r>
    </w:p>
    <w:p w:rsidR="00000000" w:rsidDel="00000000" w:rsidP="00000000" w:rsidRDefault="00000000" w:rsidRPr="00000000" w14:paraId="00000014">
      <w:pPr>
        <w:spacing w:before="240" w:line="276" w:lineRule="auto"/>
        <w:jc w:val="both"/>
        <w:rPr>
          <w:rFonts w:ascii="Rubik" w:cs="Rubik" w:eastAsia="Rubik" w:hAnsi="Rubik"/>
          <w:color w:val="171d20"/>
        </w:rPr>
      </w:pPr>
      <w:bookmarkStart w:colFirst="0" w:colLast="0" w:name="_heading=h.7u0iww9oau8o" w:id="4"/>
      <w:bookmarkEnd w:id="4"/>
      <w:r w:rsidDel="00000000" w:rsidR="00000000" w:rsidRPr="00000000">
        <w:rPr>
          <w:rFonts w:ascii="Rubik" w:cs="Rubik" w:eastAsia="Rubik" w:hAnsi="Rubik"/>
          <w:color w:val="171d20"/>
          <w:rtl w:val="0"/>
        </w:rPr>
        <w:t xml:space="preserve">Así, en el ránking de las cinco CCAA más comprometidas, tras </w:t>
      </w:r>
      <w:r w:rsidDel="00000000" w:rsidR="00000000" w:rsidRPr="00000000">
        <w:rPr>
          <w:rFonts w:ascii="Rubik" w:cs="Rubik" w:eastAsia="Rubik" w:hAnsi="Rubik"/>
          <w:b w:val="1"/>
          <w:color w:val="171d20"/>
          <w:rtl w:val="0"/>
        </w:rPr>
        <w:t xml:space="preserve">Andalucía</w:t>
      </w:r>
      <w:r w:rsidDel="00000000" w:rsidR="00000000" w:rsidRPr="00000000">
        <w:rPr>
          <w:rFonts w:ascii="Rubik" w:cs="Rubik" w:eastAsia="Rubik" w:hAnsi="Rubik"/>
          <w:color w:val="171d20"/>
          <w:rtl w:val="0"/>
        </w:rPr>
        <w:t xml:space="preserve">, </w:t>
      </w:r>
      <w:r w:rsidDel="00000000" w:rsidR="00000000" w:rsidRPr="00000000">
        <w:rPr>
          <w:rFonts w:ascii="Rubik" w:cs="Rubik" w:eastAsia="Rubik" w:hAnsi="Rubik"/>
          <w:b w:val="1"/>
          <w:color w:val="171d20"/>
          <w:rtl w:val="0"/>
        </w:rPr>
        <w:t xml:space="preserve">Canarias se sitúa en la segunda posición</w:t>
      </w:r>
      <w:r w:rsidDel="00000000" w:rsidR="00000000" w:rsidRPr="00000000">
        <w:rPr>
          <w:rFonts w:ascii="Rubik" w:cs="Rubik" w:eastAsia="Rubik" w:hAnsi="Rubik"/>
          <w:color w:val="171d20"/>
          <w:rtl w:val="0"/>
        </w:rPr>
        <w:t xml:space="preserve"> al evitar potencialmente las emisiones equivalentes a más de 1.561.985 botellas de plásticos. Por su parte, la </w:t>
      </w:r>
      <w:r w:rsidDel="00000000" w:rsidR="00000000" w:rsidRPr="00000000">
        <w:rPr>
          <w:rFonts w:ascii="Rubik" w:cs="Rubik" w:eastAsia="Rubik" w:hAnsi="Rubik"/>
          <w:b w:val="1"/>
          <w:color w:val="171d20"/>
          <w:rtl w:val="0"/>
        </w:rPr>
        <w:t xml:space="preserve">Comunidad Valenciana</w:t>
      </w:r>
      <w:r w:rsidDel="00000000" w:rsidR="00000000" w:rsidRPr="00000000">
        <w:rPr>
          <w:rFonts w:ascii="Rubik" w:cs="Rubik" w:eastAsia="Rubik" w:hAnsi="Rubik"/>
          <w:color w:val="171d20"/>
          <w:rtl w:val="0"/>
        </w:rPr>
        <w:t xml:space="preserve"> se alza con el tercer puesto con un ahorro potencial de 1.308.701 botellas de plástico; seguido de </w:t>
      </w:r>
      <w:r w:rsidDel="00000000" w:rsidR="00000000" w:rsidRPr="00000000">
        <w:rPr>
          <w:rFonts w:ascii="Rubik" w:cs="Rubik" w:eastAsia="Rubik" w:hAnsi="Rubik"/>
          <w:b w:val="1"/>
          <w:color w:val="171d20"/>
          <w:rtl w:val="0"/>
        </w:rPr>
        <w:t xml:space="preserve">Cataluña </w:t>
      </w:r>
      <w:r w:rsidDel="00000000" w:rsidR="00000000" w:rsidRPr="00000000">
        <w:rPr>
          <w:rFonts w:ascii="Rubik" w:cs="Rubik" w:eastAsia="Rubik" w:hAnsi="Rubik"/>
          <w:color w:val="171d20"/>
          <w:rtl w:val="0"/>
        </w:rPr>
        <w:t xml:space="preserve">(912.366) y </w:t>
      </w:r>
      <w:r w:rsidDel="00000000" w:rsidR="00000000" w:rsidRPr="00000000">
        <w:rPr>
          <w:rFonts w:ascii="Rubik" w:cs="Rubik" w:eastAsia="Rubik" w:hAnsi="Rubik"/>
          <w:b w:val="1"/>
          <w:color w:val="171d20"/>
          <w:rtl w:val="0"/>
        </w:rPr>
        <w:t xml:space="preserve">Baleares </w:t>
      </w:r>
      <w:r w:rsidDel="00000000" w:rsidR="00000000" w:rsidRPr="00000000">
        <w:rPr>
          <w:rFonts w:ascii="Rubik" w:cs="Rubik" w:eastAsia="Rubik" w:hAnsi="Rubik"/>
          <w:color w:val="171d20"/>
          <w:rtl w:val="0"/>
        </w:rPr>
        <w:t xml:space="preserve">(724.442). </w:t>
      </w:r>
      <w:r w:rsidDel="00000000" w:rsidR="00000000" w:rsidRPr="00000000">
        <w:rPr>
          <w:rtl w:val="0"/>
        </w:rPr>
      </w:r>
    </w:p>
    <w:p w:rsidR="00000000" w:rsidDel="00000000" w:rsidP="00000000" w:rsidRDefault="00000000" w:rsidRPr="00000000" w14:paraId="00000015">
      <w:pPr>
        <w:spacing w:before="240" w:line="276" w:lineRule="auto"/>
        <w:jc w:val="both"/>
        <w:rPr>
          <w:rFonts w:ascii="Rubik" w:cs="Rubik" w:eastAsia="Rubik" w:hAnsi="Rubik"/>
          <w:b w:val="1"/>
          <w:color w:val="171d20"/>
          <w:u w:val="single"/>
        </w:rPr>
      </w:pPr>
      <w:bookmarkStart w:colFirst="0" w:colLast="0" w:name="_heading=h.b42okz9oswyy" w:id="5"/>
      <w:bookmarkEnd w:id="5"/>
      <w:r w:rsidDel="00000000" w:rsidR="00000000" w:rsidRPr="00000000">
        <w:rPr>
          <w:rFonts w:ascii="Rubik" w:cs="Rubik" w:eastAsia="Rubik" w:hAnsi="Rubik"/>
          <w:b w:val="1"/>
          <w:color w:val="171d20"/>
          <w:u w:val="single"/>
          <w:rtl w:val="0"/>
        </w:rPr>
        <w:t xml:space="preserve">Casa y jardín, la categoría que más ahorro de plástico ha supuesto en Andalucía</w:t>
      </w:r>
    </w:p>
    <w:p w:rsidR="00000000" w:rsidDel="00000000" w:rsidP="00000000" w:rsidRDefault="00000000" w:rsidRPr="00000000" w14:paraId="00000016">
      <w:pPr>
        <w:spacing w:before="240" w:line="276" w:lineRule="auto"/>
        <w:jc w:val="both"/>
        <w:rPr>
          <w:rFonts w:ascii="Rubik" w:cs="Rubik" w:eastAsia="Rubik" w:hAnsi="Rubik"/>
          <w:b w:val="1"/>
          <w:color w:val="171d20"/>
        </w:rPr>
      </w:pPr>
      <w:r w:rsidDel="00000000" w:rsidR="00000000" w:rsidRPr="00000000">
        <w:rPr>
          <w:rFonts w:ascii="Rubik" w:cs="Rubik" w:eastAsia="Rubik" w:hAnsi="Rubik"/>
          <w:color w:val="171d20"/>
          <w:rtl w:val="0"/>
        </w:rPr>
        <w:t xml:space="preserve">Al igual que en el caso nacional, en Andalucía gran parte del potencial ahorro de CO₂ proviene de la categoría de </w:t>
      </w:r>
      <w:r w:rsidDel="00000000" w:rsidR="00000000" w:rsidRPr="00000000">
        <w:rPr>
          <w:rFonts w:ascii="Rubik" w:cs="Rubik" w:eastAsia="Rubik" w:hAnsi="Rubik"/>
          <w:b w:val="1"/>
          <w:color w:val="171d20"/>
          <w:rtl w:val="0"/>
        </w:rPr>
        <w:t xml:space="preserve">“Casa y Jardín”. </w:t>
      </w:r>
      <w:r w:rsidDel="00000000" w:rsidR="00000000" w:rsidRPr="00000000">
        <w:rPr>
          <w:rFonts w:ascii="Rubik" w:cs="Rubik" w:eastAsia="Rubik" w:hAnsi="Rubik"/>
          <w:color w:val="171d20"/>
          <w:rtl w:val="0"/>
        </w:rPr>
        <w:t xml:space="preserve">Así, en esta Comunidad Autónoma, productos como </w:t>
      </w:r>
      <w:r w:rsidDel="00000000" w:rsidR="00000000" w:rsidRPr="00000000">
        <w:rPr>
          <w:rFonts w:ascii="Rubik" w:cs="Rubik" w:eastAsia="Rubik" w:hAnsi="Rubik"/>
          <w:i w:val="1"/>
          <w:color w:val="171d20"/>
          <w:rtl w:val="0"/>
        </w:rPr>
        <w:t xml:space="preserve">‘frigoríficos’, ‘congeladores’ y ‘lavadoras’</w:t>
      </w:r>
      <w:r w:rsidDel="00000000" w:rsidR="00000000" w:rsidRPr="00000000">
        <w:rPr>
          <w:rFonts w:ascii="Rubik" w:cs="Rubik" w:eastAsia="Rubik" w:hAnsi="Rubik"/>
          <w:color w:val="171d20"/>
          <w:rtl w:val="0"/>
        </w:rPr>
        <w:t xml:space="preserve"> han conseguido evitar la producción de 1.558.153 botellas de plástico, el equivalente a 1.018 toneladas de  CO₂</w:t>
      </w:r>
      <w:r w:rsidDel="00000000" w:rsidR="00000000" w:rsidRPr="00000000">
        <w:rPr>
          <w:rFonts w:ascii="Rubik" w:cs="Rubik" w:eastAsia="Rubik" w:hAnsi="Rubik"/>
          <w:color w:val="171d20"/>
          <w:rtl w:val="0"/>
        </w:rPr>
        <w:t xml:space="preserve">. </w:t>
      </w:r>
      <w:r w:rsidDel="00000000" w:rsidR="00000000" w:rsidRPr="00000000">
        <w:rPr>
          <w:rtl w:val="0"/>
        </w:rPr>
      </w:r>
    </w:p>
    <w:p w:rsidR="00000000" w:rsidDel="00000000" w:rsidP="00000000" w:rsidRDefault="00000000" w:rsidRPr="00000000" w14:paraId="00000017">
      <w:pPr>
        <w:spacing w:before="240" w:line="276" w:lineRule="auto"/>
        <w:jc w:val="both"/>
        <w:rPr>
          <w:rFonts w:ascii="Rubik" w:cs="Rubik" w:eastAsia="Rubik" w:hAnsi="Rubik"/>
          <w:b w:val="1"/>
          <w:color w:val="171d20"/>
        </w:rPr>
      </w:pPr>
      <w:r w:rsidDel="00000000" w:rsidR="00000000" w:rsidRPr="00000000">
        <w:rPr>
          <w:rFonts w:ascii="Rubik" w:cs="Rubik" w:eastAsia="Rubik" w:hAnsi="Rubik"/>
          <w:highlight w:val="white"/>
          <w:rtl w:val="0"/>
        </w:rPr>
        <w:t xml:space="preserve">Asimismo, “Cierra el círculo 2024” desvela </w:t>
      </w:r>
      <w:r w:rsidDel="00000000" w:rsidR="00000000" w:rsidRPr="00000000">
        <w:rPr>
          <w:rFonts w:ascii="Rubik" w:cs="Rubik" w:eastAsia="Rubik" w:hAnsi="Rubik"/>
          <w:b w:val="1"/>
          <w:highlight w:val="white"/>
          <w:rtl w:val="0"/>
        </w:rPr>
        <w:t xml:space="preserve">qué artículos ahorran más emisiones potencialmente al planeta en Andalucía. </w:t>
      </w:r>
      <w:r w:rsidDel="00000000" w:rsidR="00000000" w:rsidRPr="00000000">
        <w:rPr>
          <w:rFonts w:ascii="Rubik" w:cs="Rubik" w:eastAsia="Rubik" w:hAnsi="Rubik"/>
          <w:highlight w:val="white"/>
          <w:rtl w:val="0"/>
        </w:rPr>
        <w:t xml:space="preserve">Así, del total de productos analizados, Milanuncios muestra cómo las </w:t>
      </w:r>
      <w:r w:rsidDel="00000000" w:rsidR="00000000" w:rsidRPr="00000000">
        <w:rPr>
          <w:rFonts w:ascii="Rubik" w:cs="Rubik" w:eastAsia="Rubik" w:hAnsi="Rubik"/>
          <w:b w:val="1"/>
          <w:i w:val="1"/>
          <w:highlight w:val="white"/>
          <w:rtl w:val="0"/>
        </w:rPr>
        <w:t xml:space="preserve">bicis de montaña, </w:t>
      </w:r>
      <w:r w:rsidDel="00000000" w:rsidR="00000000" w:rsidRPr="00000000">
        <w:rPr>
          <w:rFonts w:ascii="Rubik" w:cs="Rubik" w:eastAsia="Rubik" w:hAnsi="Rubik"/>
          <w:b w:val="1"/>
          <w:i w:val="1"/>
          <w:highlight w:val="white"/>
          <w:rtl w:val="0"/>
        </w:rPr>
        <w:t xml:space="preserve">frigoríficos, congeladores, lavadoras y bicis de niños </w:t>
      </w:r>
      <w:r w:rsidDel="00000000" w:rsidR="00000000" w:rsidRPr="00000000">
        <w:rPr>
          <w:rFonts w:ascii="Rubik" w:cs="Rubik" w:eastAsia="Rubik" w:hAnsi="Rubik"/>
          <w:highlight w:val="white"/>
          <w:rtl w:val="0"/>
        </w:rPr>
        <w:t xml:space="preserve">se sitúan en el ránking de los productos reutilizados con más impacto sostenible. </w:t>
      </w:r>
      <w:r w:rsidDel="00000000" w:rsidR="00000000" w:rsidRPr="00000000">
        <w:rPr>
          <w:rtl w:val="0"/>
        </w:rPr>
      </w:r>
    </w:p>
    <w:p w:rsidR="00000000" w:rsidDel="00000000" w:rsidP="00000000" w:rsidRDefault="00000000" w:rsidRPr="00000000" w14:paraId="00000018">
      <w:pPr>
        <w:spacing w:before="240" w:line="276" w:lineRule="auto"/>
        <w:jc w:val="both"/>
        <w:rPr>
          <w:rFonts w:ascii="Rubik" w:cs="Rubik" w:eastAsia="Rubik" w:hAnsi="Rubik"/>
          <w:b w:val="1"/>
          <w:color w:val="171d20"/>
          <w:u w:val="single"/>
        </w:rPr>
      </w:pPr>
      <w:bookmarkStart w:colFirst="0" w:colLast="0" w:name="_heading=h.hzwfjnaifi09" w:id="6"/>
      <w:bookmarkEnd w:id="6"/>
      <w:r w:rsidDel="00000000" w:rsidR="00000000" w:rsidRPr="00000000">
        <w:rPr>
          <w:rFonts w:ascii="Rubik" w:cs="Rubik" w:eastAsia="Rubik" w:hAnsi="Rubik"/>
          <w:b w:val="1"/>
          <w:color w:val="171d20"/>
          <w:u w:val="single"/>
          <w:rtl w:val="0"/>
        </w:rPr>
        <w:t xml:space="preserve">El</w:t>
      </w:r>
      <w:r w:rsidDel="00000000" w:rsidR="00000000" w:rsidRPr="00000000">
        <w:rPr>
          <w:rFonts w:ascii="Rubik" w:cs="Rubik" w:eastAsia="Rubik" w:hAnsi="Rubik"/>
          <w:b w:val="1"/>
          <w:color w:val="171d20"/>
          <w:u w:val="single"/>
          <w:rtl w:val="0"/>
        </w:rPr>
        <w:t xml:space="preserve"> 45% de </w:t>
      </w:r>
      <w:r w:rsidDel="00000000" w:rsidR="00000000" w:rsidRPr="00000000">
        <w:rPr>
          <w:rFonts w:ascii="Rubik" w:cs="Rubik" w:eastAsia="Rubik" w:hAnsi="Rubik"/>
          <w:b w:val="1"/>
          <w:color w:val="171d20"/>
          <w:u w:val="single"/>
          <w:rtl w:val="0"/>
        </w:rPr>
        <w:t xml:space="preserve">las compras de electrodomésticos han evitado la adquisición de un producto nuevo</w:t>
      </w:r>
    </w:p>
    <w:p w:rsidR="00000000" w:rsidDel="00000000" w:rsidP="00000000" w:rsidRDefault="00000000" w:rsidRPr="00000000" w14:paraId="00000019">
      <w:pPr>
        <w:spacing w:before="240" w:line="276" w:lineRule="auto"/>
        <w:jc w:val="both"/>
        <w:rPr>
          <w:rFonts w:ascii="Rubik" w:cs="Rubik" w:eastAsia="Rubik" w:hAnsi="Rubik"/>
          <w:b w:val="1"/>
          <w:highlight w:val="white"/>
        </w:rPr>
      </w:pPr>
      <w:bookmarkStart w:colFirst="0" w:colLast="0" w:name="_heading=h.ofy4aipkkjjt" w:id="7"/>
      <w:bookmarkEnd w:id="7"/>
      <w:r w:rsidDel="00000000" w:rsidR="00000000" w:rsidRPr="00000000">
        <w:rPr>
          <w:rFonts w:ascii="Rubik" w:cs="Rubik" w:eastAsia="Rubik" w:hAnsi="Rubik"/>
          <w:color w:val="171d20"/>
          <w:rtl w:val="0"/>
        </w:rPr>
        <w:t xml:space="preserve">Además, por primera vez, Milanuncios ha analizado en el Informe ‘Cierra el círculo’ la denominada ‘</w:t>
      </w:r>
      <w:r w:rsidDel="00000000" w:rsidR="00000000" w:rsidRPr="00000000">
        <w:rPr>
          <w:rFonts w:ascii="Rubik" w:cs="Rubik" w:eastAsia="Rubik" w:hAnsi="Rubik"/>
          <w:b w:val="1"/>
          <w:color w:val="171d20"/>
          <w:rtl w:val="0"/>
        </w:rPr>
        <w:t xml:space="preserve">tasa de reemplazo’,</w:t>
      </w:r>
      <w:r w:rsidDel="00000000" w:rsidR="00000000" w:rsidRPr="00000000">
        <w:rPr>
          <w:rFonts w:ascii="Rubik" w:cs="Rubik" w:eastAsia="Rubik" w:hAnsi="Rubik"/>
          <w:color w:val="171d20"/>
          <w:rtl w:val="0"/>
        </w:rPr>
        <w:t xml:space="preserve"> indicando cuántas de las compras de productos de segunda mano sustituyen realmente la de un producto nuevo. </w:t>
      </w:r>
      <w:r w:rsidDel="00000000" w:rsidR="00000000" w:rsidRPr="00000000">
        <w:rPr>
          <w:rFonts w:ascii="Rubik" w:cs="Rubik" w:eastAsia="Rubik" w:hAnsi="Rubik"/>
          <w:highlight w:val="white"/>
          <w:rtl w:val="0"/>
        </w:rPr>
        <w:t xml:space="preserve">El caso más llamativo es el de las</w:t>
      </w:r>
      <w:r w:rsidDel="00000000" w:rsidR="00000000" w:rsidRPr="00000000">
        <w:rPr>
          <w:rFonts w:ascii="Rubik" w:cs="Rubik" w:eastAsia="Rubik" w:hAnsi="Rubik"/>
          <w:i w:val="1"/>
          <w:highlight w:val="white"/>
          <w:rtl w:val="0"/>
        </w:rPr>
        <w:t xml:space="preserve"> sillas de paseo de bebé y sillitas para el coche</w:t>
      </w:r>
      <w:r w:rsidDel="00000000" w:rsidR="00000000" w:rsidRPr="00000000">
        <w:rPr>
          <w:rFonts w:ascii="Rubik" w:cs="Rubik" w:eastAsia="Rubik" w:hAnsi="Rubik"/>
          <w:highlight w:val="white"/>
          <w:rtl w:val="0"/>
        </w:rPr>
        <w:t xml:space="preserve">, donde el </w:t>
      </w:r>
      <w:r w:rsidDel="00000000" w:rsidR="00000000" w:rsidRPr="00000000">
        <w:rPr>
          <w:rFonts w:ascii="Rubik" w:cs="Rubik" w:eastAsia="Rubik" w:hAnsi="Rubik"/>
          <w:b w:val="1"/>
          <w:highlight w:val="white"/>
          <w:rtl w:val="0"/>
        </w:rPr>
        <w:t xml:space="preserve">50% de los usuarios a nivel nacional </w:t>
      </w:r>
      <w:r w:rsidDel="00000000" w:rsidR="00000000" w:rsidRPr="00000000">
        <w:rPr>
          <w:rFonts w:ascii="Rubik" w:cs="Rubik" w:eastAsia="Rubik" w:hAnsi="Rubik"/>
          <w:highlight w:val="white"/>
          <w:rtl w:val="0"/>
        </w:rPr>
        <w:t xml:space="preserve">admitieron</w:t>
      </w:r>
      <w:r w:rsidDel="00000000" w:rsidR="00000000" w:rsidRPr="00000000">
        <w:rPr>
          <w:rFonts w:ascii="Rubik" w:cs="Rubik" w:eastAsia="Rubik" w:hAnsi="Rubik"/>
          <w:color w:val="171d20"/>
          <w:rtl w:val="0"/>
        </w:rPr>
        <w:t xml:space="preserve"> que haber encontrado estos artículos en la plataforma de segunda mano evitó que compraran estos productos nuevos</w:t>
      </w:r>
      <w:r w:rsidDel="00000000" w:rsidR="00000000" w:rsidRPr="00000000">
        <w:rPr>
          <w:rtl w:val="0"/>
        </w:rPr>
      </w:r>
    </w:p>
    <w:p w:rsidR="00000000" w:rsidDel="00000000" w:rsidP="00000000" w:rsidRDefault="00000000" w:rsidRPr="00000000" w14:paraId="0000001A">
      <w:pPr>
        <w:spacing w:before="240" w:line="276" w:lineRule="auto"/>
        <w:jc w:val="both"/>
        <w:rPr>
          <w:rFonts w:ascii="Rubik" w:cs="Rubik" w:eastAsia="Rubik" w:hAnsi="Rubik"/>
          <w:b w:val="1"/>
          <w:color w:val="171d20"/>
        </w:rPr>
      </w:pPr>
      <w:bookmarkStart w:colFirst="0" w:colLast="0" w:name="_heading=h.1ec7f36sv4jq" w:id="8"/>
      <w:bookmarkEnd w:id="8"/>
      <w:r w:rsidDel="00000000" w:rsidR="00000000" w:rsidRPr="00000000">
        <w:rPr>
          <w:rFonts w:ascii="Rubik" w:cs="Rubik" w:eastAsia="Rubik" w:hAnsi="Rubik"/>
          <w:highlight w:val="white"/>
          <w:rtl w:val="0"/>
        </w:rPr>
        <w:t xml:space="preserve">Lo mismo ocurre con los compradores de </w:t>
      </w:r>
      <w:r w:rsidDel="00000000" w:rsidR="00000000" w:rsidRPr="00000000">
        <w:rPr>
          <w:rFonts w:ascii="Rubik" w:cs="Rubik" w:eastAsia="Rubik" w:hAnsi="Rubik"/>
          <w:b w:val="1"/>
          <w:highlight w:val="white"/>
          <w:rtl w:val="0"/>
        </w:rPr>
        <w:t xml:space="preserve">electrodomésticos</w:t>
      </w:r>
      <w:r w:rsidDel="00000000" w:rsidR="00000000" w:rsidRPr="00000000">
        <w:rPr>
          <w:rFonts w:ascii="Rubik" w:cs="Rubik" w:eastAsia="Rubik" w:hAnsi="Rubik"/>
          <w:highlight w:val="white"/>
          <w:rtl w:val="0"/>
        </w:rPr>
        <w:t xml:space="preserve"> para la cocina y el hogar (</w:t>
      </w:r>
      <w:r w:rsidDel="00000000" w:rsidR="00000000" w:rsidRPr="00000000">
        <w:rPr>
          <w:rFonts w:ascii="Rubik" w:cs="Rubik" w:eastAsia="Rubik" w:hAnsi="Rubik"/>
          <w:i w:val="1"/>
          <w:highlight w:val="white"/>
          <w:rtl w:val="0"/>
        </w:rPr>
        <w:t xml:space="preserve">frigoríficos, congeladores o lavadoras</w:t>
      </w:r>
      <w:r w:rsidDel="00000000" w:rsidR="00000000" w:rsidRPr="00000000">
        <w:rPr>
          <w:rFonts w:ascii="Rubik" w:cs="Rubik" w:eastAsia="Rubik" w:hAnsi="Rubik"/>
          <w:highlight w:val="white"/>
          <w:rtl w:val="0"/>
        </w:rPr>
        <w:t xml:space="preserve">), donde un 45% de los usuarios admitió que esa compra en segunda mano evitó la adquisición de estos elementos nuevos. Asimismo, los usuarios se decantaron por recurrir a la segunda mano a la hora de adquirir productos como </w:t>
      </w:r>
      <w:r w:rsidDel="00000000" w:rsidR="00000000" w:rsidRPr="00000000">
        <w:rPr>
          <w:rFonts w:ascii="Rubik" w:cs="Rubik" w:eastAsia="Rubik" w:hAnsi="Rubik"/>
          <w:i w:val="1"/>
          <w:highlight w:val="white"/>
          <w:rtl w:val="0"/>
        </w:rPr>
        <w:t xml:space="preserve">ordenadores, smart TV, aires acondicionados o PlayStation, </w:t>
      </w:r>
      <w:r w:rsidDel="00000000" w:rsidR="00000000" w:rsidRPr="00000000">
        <w:rPr>
          <w:rFonts w:ascii="Rubik" w:cs="Rubik" w:eastAsia="Rubik" w:hAnsi="Rubik"/>
          <w:highlight w:val="white"/>
          <w:rtl w:val="0"/>
        </w:rPr>
        <w:t xml:space="preserve">entre otros.</w:t>
      </w:r>
      <w:r w:rsidDel="00000000" w:rsidR="00000000" w:rsidRPr="00000000">
        <w:rPr>
          <w:rtl w:val="0"/>
        </w:rPr>
      </w:r>
    </w:p>
    <w:p w:rsidR="00000000" w:rsidDel="00000000" w:rsidP="00000000" w:rsidRDefault="00000000" w:rsidRPr="00000000" w14:paraId="0000001B">
      <w:pPr>
        <w:spacing w:before="240" w:line="276" w:lineRule="auto"/>
        <w:jc w:val="both"/>
        <w:rPr>
          <w:rFonts w:ascii="Rubik" w:cs="Rubik" w:eastAsia="Rubik" w:hAnsi="Rubik"/>
          <w:i w:val="1"/>
          <w:color w:val="171d20"/>
        </w:rPr>
      </w:pPr>
      <w:bookmarkStart w:colFirst="0" w:colLast="0" w:name="_heading=h.ceqfsvdi3ehy" w:id="9"/>
      <w:bookmarkEnd w:id="9"/>
      <w:r w:rsidDel="00000000" w:rsidR="00000000" w:rsidRPr="00000000">
        <w:rPr>
          <w:rFonts w:ascii="Rubik" w:cs="Rubik" w:eastAsia="Rubik" w:hAnsi="Rubik"/>
          <w:color w:val="171d20"/>
          <w:rtl w:val="0"/>
        </w:rPr>
        <w:t xml:space="preserve">Por su parte, Iñigo Vallejo, portavoz de Milanuncios, explica que </w:t>
      </w:r>
      <w:r w:rsidDel="00000000" w:rsidR="00000000" w:rsidRPr="00000000">
        <w:rPr>
          <w:rFonts w:ascii="Rubik" w:cs="Rubik" w:eastAsia="Rubik" w:hAnsi="Rubik"/>
          <w:i w:val="1"/>
          <w:color w:val="171d20"/>
          <w:rtl w:val="0"/>
        </w:rPr>
        <w:t xml:space="preserve">“por fin podemos demostrar que el mercado de la segunda mano es una alternativa real al mercado convencional, concretamente en Andalucía, donde vemos que muchos usuarios han comprado productos de segunda mano evitando la compra de un producto nuevo. Este cambio de mentalidad está consiguiendo que nos asentemos dentro del comportamiento del consumidor y que cada vez sea más frecuente recurrir a la segunda mano para comprar cualquier tipo de producto”. </w:t>
      </w:r>
    </w:p>
    <w:p w:rsidR="00000000" w:rsidDel="00000000" w:rsidP="00000000" w:rsidRDefault="00000000" w:rsidRPr="00000000" w14:paraId="0000001C">
      <w:pPr>
        <w:pageBreakBefore w:val="0"/>
        <w:rPr>
          <w:rFonts w:ascii="Rubik" w:cs="Rubik" w:eastAsia="Rubik" w:hAnsi="Rubik"/>
          <w:color w:val="171d20"/>
          <w:sz w:val="20"/>
          <w:szCs w:val="20"/>
        </w:rPr>
      </w:pPr>
      <w:r w:rsidDel="00000000" w:rsidR="00000000" w:rsidRPr="00000000">
        <w:rPr>
          <w:rtl w:val="0"/>
        </w:rPr>
      </w:r>
    </w:p>
    <w:p w:rsidR="00000000" w:rsidDel="00000000" w:rsidP="00000000" w:rsidRDefault="00000000" w:rsidRPr="00000000" w14:paraId="0000001D">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1E">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1F">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0">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1">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2">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3">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4">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5">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6">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7">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8">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9">
      <w:pPr>
        <w:spacing w:line="276" w:lineRule="auto"/>
        <w:jc w:val="both"/>
        <w:rPr>
          <w:rFonts w:ascii="Rubik" w:cs="Rubik" w:eastAsia="Rubik" w:hAnsi="Rubik"/>
        </w:rPr>
      </w:pPr>
      <w:r w:rsidDel="00000000" w:rsidR="00000000" w:rsidRPr="00000000">
        <w:rPr>
          <w:rtl w:val="0"/>
        </w:rPr>
      </w:r>
    </w:p>
    <w:p w:rsidR="00000000" w:rsidDel="00000000" w:rsidP="00000000" w:rsidRDefault="00000000" w:rsidRPr="00000000" w14:paraId="0000002A">
      <w:pPr>
        <w:spacing w:line="276" w:lineRule="auto"/>
        <w:jc w:val="both"/>
        <w:rPr>
          <w:rFonts w:ascii="Rubik" w:cs="Rubik" w:eastAsia="Rubik" w:hAnsi="Rubik"/>
        </w:rPr>
      </w:pPr>
      <w:r w:rsidDel="00000000" w:rsidR="00000000" w:rsidRPr="00000000">
        <w:rPr>
          <w:rFonts w:ascii="Rubik" w:cs="Rubik" w:eastAsia="Rubik" w:hAnsi="Rubik"/>
          <w:rtl w:val="0"/>
        </w:rPr>
        <w:t xml:space="preserve">–</w:t>
      </w:r>
    </w:p>
    <w:p w:rsidR="00000000" w:rsidDel="00000000" w:rsidP="00000000" w:rsidRDefault="00000000" w:rsidRPr="00000000" w14:paraId="0000002B">
      <w:pPr>
        <w:spacing w:line="276" w:lineRule="auto"/>
        <w:jc w:val="both"/>
        <w:rPr>
          <w:rFonts w:ascii="Rubik" w:cs="Rubik" w:eastAsia="Rubik" w:hAnsi="Rubik"/>
          <w:i w:val="1"/>
          <w:sz w:val="22"/>
          <w:szCs w:val="22"/>
        </w:rPr>
      </w:pPr>
      <w:r w:rsidDel="00000000" w:rsidR="00000000" w:rsidRPr="00000000">
        <w:rPr>
          <w:rFonts w:ascii="Rubik" w:cs="Rubik" w:eastAsia="Rubik" w:hAnsi="Rubik"/>
          <w:i w:val="1"/>
          <w:sz w:val="22"/>
          <w:szCs w:val="22"/>
          <w:rtl w:val="0"/>
        </w:rPr>
        <w:t xml:space="preserve">Disclamer “Cierra el Círculo 2024”</w:t>
      </w:r>
    </w:p>
    <w:p w:rsidR="00000000" w:rsidDel="00000000" w:rsidP="00000000" w:rsidRDefault="00000000" w:rsidRPr="00000000" w14:paraId="0000002C">
      <w:pPr>
        <w:spacing w:line="276" w:lineRule="auto"/>
        <w:jc w:val="both"/>
        <w:rPr>
          <w:rFonts w:ascii="Rubik" w:cs="Rubik" w:eastAsia="Rubik" w:hAnsi="Rubik"/>
          <w:i w:val="1"/>
          <w:sz w:val="22"/>
          <w:szCs w:val="22"/>
        </w:rPr>
      </w:pPr>
      <w:r w:rsidDel="00000000" w:rsidR="00000000" w:rsidRPr="00000000">
        <w:rPr>
          <w:rtl w:val="0"/>
        </w:rPr>
      </w:r>
    </w:p>
    <w:p w:rsidR="00000000" w:rsidDel="00000000" w:rsidP="00000000" w:rsidRDefault="00000000" w:rsidRPr="00000000" w14:paraId="0000002D">
      <w:pPr>
        <w:spacing w:line="276" w:lineRule="auto"/>
        <w:jc w:val="both"/>
        <w:rPr>
          <w:rFonts w:ascii="Rubik" w:cs="Rubik" w:eastAsia="Rubik" w:hAnsi="Rubik"/>
          <w:b w:val="1"/>
          <w:color w:val="b7b7b7"/>
          <w:sz w:val="18"/>
          <w:szCs w:val="18"/>
        </w:rPr>
      </w:pPr>
      <w:r w:rsidDel="00000000" w:rsidR="00000000" w:rsidRPr="00000000">
        <w:rPr>
          <w:rFonts w:ascii="Rubik Light" w:cs="Rubik Light" w:eastAsia="Rubik Light" w:hAnsi="Rubik Light"/>
          <w:sz w:val="18"/>
          <w:szCs w:val="18"/>
          <w:rtl w:val="0"/>
        </w:rPr>
        <w:t xml:space="preserve">En el mercado de segunda mano podemos encontrar casi cualquier producto, sin embargo no todos tienen el mismo impacto para el medioambiente. Aunque en este análisis se destacan las categorías que más ahorro potencial de emisiones suponen para el planeta, existen algunas categorías de productos que no generan dicho ahorro por su estudio del ciclo de vida. Por tanto, podemos encontrar discrepancias en tanto que si sumamos las equivalencias de las botellas de plástico de las tres categorías principales encontraremos una cifra mayor a la cantidad global en tanto que no se han compensado las emisiones que otras categorías suman.</w:t>
      </w:r>
      <w:r w:rsidDel="00000000" w:rsidR="00000000" w:rsidRPr="00000000">
        <w:rPr>
          <w:rtl w:val="0"/>
        </w:rPr>
      </w:r>
    </w:p>
    <w:sectPr>
      <w:headerReference r:id="rId10" w:type="default"/>
      <w:pgSz w:h="16840" w:w="11900" w:orient="portrait"/>
      <w:pgMar w:bottom="1418" w:top="3686"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Rubik Medium">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Rubik Ligh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Rubik">
    <w:embedRegular w:fontKey="{00000000-0000-0000-0000-000000000000}" r:id="rId9" w:subsetted="0"/>
    <w:embedBold w:fontKey="{00000000-0000-0000-0000-000000000000}" r:id="rId10" w:subsetted="0"/>
    <w:embedItalic w:fontKey="{00000000-0000-0000-0000-000000000000}" r:id="rId11" w:subsetted="0"/>
    <w:embedBoldItalic w:fontKey="{00000000-0000-0000-0000-000000000000}" r:id="rId12"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30">
      <w:pPr>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
        <w:r w:rsidDel="00000000" w:rsidR="00000000" w:rsidRPr="00000000">
          <w:rPr>
            <w:color w:val="1155cc"/>
            <w:sz w:val="20"/>
            <w:szCs w:val="20"/>
            <w:u w:val="single"/>
            <w:rtl w:val="0"/>
          </w:rPr>
          <w:t xml:space="preserve">Estudio de emisiones adelantadas 2023</w:t>
        </w:r>
      </w:hyperlink>
      <w:r w:rsidDel="00000000" w:rsidR="00000000" w:rsidRPr="00000000">
        <w:rPr>
          <w:rtl w:val="0"/>
        </w:rPr>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Rubik Medium" w:cs="Rubik Medium" w:eastAsia="Rubik Medium" w:hAnsi="Rubik Medium"/>
        <w:color w:val="ff0000"/>
        <w:sz w:val="48"/>
        <w:szCs w:val="48"/>
      </w:rPr>
    </w:pPr>
    <w:r w:rsidDel="00000000" w:rsidR="00000000" w:rsidRPr="00000000">
      <w:rPr>
        <w:rtl w:val="0"/>
      </w:rPr>
    </w:r>
  </w:p>
  <w:p w:rsidR="00000000" w:rsidDel="00000000" w:rsidP="00000000" w:rsidRDefault="00000000" w:rsidRPr="00000000" w14:paraId="0000002F">
    <w:pPr>
      <w:keepNext w:val="0"/>
      <w:keepLines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drawing>
        <wp:anchor allowOverlap="1" behindDoc="0" distB="0" distT="0" distL="0" distR="0" hidden="0" layoutInCell="1" locked="0" relativeHeight="0" simplePos="0">
          <wp:simplePos x="0" y="0"/>
          <wp:positionH relativeFrom="page">
            <wp:posOffset>13334</wp:posOffset>
          </wp:positionH>
          <wp:positionV relativeFrom="page">
            <wp:posOffset>2540</wp:posOffset>
          </wp:positionV>
          <wp:extent cx="7611427" cy="1988972"/>
          <wp:effectExtent b="0" l="0" r="0" t="0"/>
          <wp:wrapSquare wrapText="bothSides" distB="0" distT="0" distL="0" distR="0"/>
          <wp:docPr id="5"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7611427" cy="1988972"/>
                  </a:xfrm>
                  <a:prstGeom prst="rect"/>
                  <a:ln/>
                </pic:spPr>
              </pic:pic>
            </a:graphicData>
          </a:graphic>
        </wp:anchor>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4"/>
        <w:szCs w:val="24"/>
        <w:lang w:val="es-E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10" Type="http://schemas.openxmlformats.org/officeDocument/2006/relationships/header" Target="header1.xml"/><Relationship Id="rId9" Type="http://schemas.openxmlformats.org/officeDocument/2006/relationships/hyperlink" Target="https://www.milanuncios.com/" TargetMode="Externa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blog.milanuncios.com/wp-content/uploads/2024/05/El-efecto-medioambiental-de-la-segunda-mano-2023-Milanuncios-comprimido.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ubikMedium-regular.ttf"/><Relationship Id="rId2" Type="http://schemas.openxmlformats.org/officeDocument/2006/relationships/font" Target="fonts/RubikMedium-bold.ttf"/><Relationship Id="rId3" Type="http://schemas.openxmlformats.org/officeDocument/2006/relationships/font" Target="fonts/RubikMedium-italic.ttf"/><Relationship Id="rId4" Type="http://schemas.openxmlformats.org/officeDocument/2006/relationships/font" Target="fonts/RubikMedium-boldItalic.ttf"/><Relationship Id="rId11" Type="http://schemas.openxmlformats.org/officeDocument/2006/relationships/font" Target="fonts/Rubik-italic.ttf"/><Relationship Id="rId10" Type="http://schemas.openxmlformats.org/officeDocument/2006/relationships/font" Target="fonts/Rubik-bold.ttf"/><Relationship Id="rId12" Type="http://schemas.openxmlformats.org/officeDocument/2006/relationships/font" Target="fonts/Rubik-boldItalic.ttf"/><Relationship Id="rId9" Type="http://schemas.openxmlformats.org/officeDocument/2006/relationships/font" Target="fonts/Rubik-regular.ttf"/><Relationship Id="rId5" Type="http://schemas.openxmlformats.org/officeDocument/2006/relationships/font" Target="fonts/RubikLight-regular.ttf"/><Relationship Id="rId6" Type="http://schemas.openxmlformats.org/officeDocument/2006/relationships/font" Target="fonts/RubikLight-bold.ttf"/><Relationship Id="rId7" Type="http://schemas.openxmlformats.org/officeDocument/2006/relationships/font" Target="fonts/RubikLight-italic.ttf"/><Relationship Id="rId8" Type="http://schemas.openxmlformats.org/officeDocument/2006/relationships/font" Target="fonts/RubikLight-boldItalic.ttf"/></Relationships>
</file>

<file path=word/_rels/footnotes.xml.rels><?xml version="1.0" encoding="UTF-8" standalone="yes"?><Relationships xmlns="http://schemas.openxmlformats.org/package/2006/relationships"><Relationship Id="rId1" Type="http://schemas.openxmlformats.org/officeDocument/2006/relationships/hyperlink" Target="https://www.energias-renovables.com/panorama/espaa-ha-reducido-apenas-un-5-6-2024011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OC2WnwuESEoDhChm+sxC95fs3A==">CgMxLjAyCWguMWZvYjl0ZTIOaC51eXZkbHZycjdmOGIyCWguMjZpbjFyZzIOaC5uZTR3MTNtZHE2bWcyDmguN3UwaXd3OW9hdThvMg5oLmI0Mm9rejlvc3d5eTIOaC5oendmam5haWZpMDkyDmgub2Z5NGFpcGtramp0Mg5oLjFlYzdmMzZzdjRqcTIOaC5jZXFmc3ZkaTNlaHk4AGomChRzdWdnZXN0LnRsY3ZqNmd2dGs5YhIOScOxaWdvIFZhbGxlam9qJgoUc3VnZ2VzdC5rNjJrbWR2YmF5OGkSDknDsWlnbyBWYWxsZWpvaiYKFHN1Z2dlc3QueWduZGdqbHE1dGEzEg5Jw7FpZ28gVmFsbGVqb2omChRzdWdnZXN0LjE5amtrOGt0aG9kNxIOScOxaWdvIFZhbGxlam9qJgoUc3VnZ2VzdC5rZ2tpN2RqMmVnNzkSDknDsWlnbyBWYWxsZWpvaiYKFHN1Z2dlc3QucDE0MGF4aHp2azNjEg5Jw7FpZ28gVmFsbGVqb2omChRzdWdnZXN0LmNnZ2Z2dDl0NnA5ZBIOScOxaWdvIFZhbGxlam9qJgoUc3VnZ2VzdC5iZG9haXhyM2hpYTYSDknDsWlnbyBWYWxsZWpvaiYKFHN1Z2dlc3QueDU1a3FlNXdlbXRrEg5Jw7FpZ28gVmFsbGVqb2omChRzdWdnZXN0LjJxYjlvZmVrb2NjNRIOScOxaWdvIFZhbGxlam9qJgoUc3VnZ2VzdC5uaWMyZ2llNmU0cXISDknDsWlnbyBWYWxsZWpvaiYKFHN1Z2dlc3QuY2NpMHBlOG1xdmVtEg5Jw7FpZ28gVmFsbGVqb2omChRzdWdnZXN0LmsycnBicnM3eG03aRIOScOxaWdvIFZhbGxlam9qJgoUc3VnZ2VzdC5iaWI2bW5sajFtZmYSDknDsWlnbyBWYWxsZWpvciExZnViTEp0YU9uc1Z2c0loTnFOVE9DSUxmWTVqbVFwaV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