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sz w:val="30"/>
          <w:szCs w:val="30"/>
          <w:u w:val="single"/>
          <w:rtl w:val="0"/>
        </w:rPr>
        <w:t xml:space="preserve">Cierra el círculo 2024</w:t>
      </w:r>
      <w:r w:rsidDel="00000000" w:rsidR="00000000" w:rsidRPr="00000000">
        <w:rPr>
          <w:rtl w:val="0"/>
        </w:rPr>
      </w:r>
    </w:p>
    <w:p w:rsidR="00000000" w:rsidDel="00000000" w:rsidP="00000000" w:rsidRDefault="00000000" w:rsidRPr="00000000" w14:paraId="00000002">
      <w:pPr>
        <w:tabs>
          <w:tab w:val="center" w:leader="none" w:pos="4419"/>
          <w:tab w:val="right" w:leader="none" w:pos="8838"/>
        </w:tabs>
        <w:jc w:val="center"/>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8ba5d"/>
          <w:sz w:val="38"/>
          <w:szCs w:val="38"/>
          <w:rtl w:val="0"/>
        </w:rPr>
        <w:t xml:space="preserve">La venta de ordenadores de segunda mano supone un ahorro potencial equivalente a la producción de más de 2 millones de botellas de plástico en sólo un año</w:t>
      </w:r>
      <w:r w:rsidDel="00000000" w:rsidR="00000000" w:rsidRPr="00000000">
        <w:rPr>
          <w:rFonts w:ascii="Rubik Medium" w:cs="Rubik Medium" w:eastAsia="Rubik Medium" w:hAnsi="Rubik Medium"/>
          <w:color w:val="171d20"/>
          <w:sz w:val="18"/>
          <w:szCs w:val="18"/>
          <w:rtl w:val="0"/>
        </w:rPr>
        <w:br w:type="textWrapping"/>
      </w:r>
      <w:r w:rsidDel="00000000" w:rsidR="00000000" w:rsidRPr="00000000">
        <w:rPr>
          <w:rtl w:val="0"/>
        </w:rPr>
      </w:r>
    </w:p>
    <w:p w:rsidR="00000000" w:rsidDel="00000000" w:rsidP="00000000" w:rsidRDefault="00000000" w:rsidRPr="00000000" w14:paraId="00000003">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 adquisición de productos reutilizados vinculados a ‘Informática’ como  portátiles, monitores o dispositivos Mac ha supuesto un ahorro potencial equivalente al consumo eléctrico de 2.000 hogares en España o las emisiones que generan 800 viajes de ida y vuelta de Madrid a Nueva York</w:t>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5">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Los productos con mayor impacto medioambiental son los ordenadores, tanto de mesa como portátiles, seguido de accesorios tecnológicos como procesadores, placas bases o tarjetas gráficas  </w:t>
      </w:r>
    </w:p>
    <w:p w:rsidR="00000000" w:rsidDel="00000000" w:rsidP="00000000" w:rsidRDefault="00000000" w:rsidRPr="00000000" w14:paraId="00000006">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7">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Por primera vez, el Informe muestra cómo el 45% de las compras realizadas en Milanuncios en la categoría ‘Informática’ han evitado la adquisición de un producto nuevo</w:t>
      </w:r>
    </w:p>
    <w:p w:rsidR="00000000" w:rsidDel="00000000" w:rsidP="00000000" w:rsidRDefault="00000000" w:rsidRPr="00000000" w14:paraId="00000008">
      <w:pPr>
        <w:tabs>
          <w:tab w:val="center" w:leader="none" w:pos="4419"/>
          <w:tab w:val="right" w:leader="none" w:pos="8838"/>
        </w:tabs>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9">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A">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B">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color w:val="171d20"/>
          <w:rtl w:val="0"/>
        </w:rPr>
        <w:t xml:space="preserve">el primer  estudio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tanto a nivel nacional y regional como por categorías,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C">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0D">
      <w:pPr>
        <w:spacing w:before="240" w:line="276" w:lineRule="auto"/>
        <w:jc w:val="both"/>
        <w:rPr>
          <w:rFonts w:ascii="Rubik Medium" w:cs="Rubik Medium" w:eastAsia="Rubik Medium" w:hAnsi="Rubik Medium"/>
          <w:color w:val="171d20"/>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r w:rsidDel="00000000" w:rsidR="00000000" w:rsidRPr="00000000">
        <w:rPr>
          <w:rtl w:val="0"/>
        </w:rPr>
      </w:r>
    </w:p>
    <w:p w:rsidR="00000000" w:rsidDel="00000000" w:rsidP="00000000" w:rsidRDefault="00000000" w:rsidRPr="00000000" w14:paraId="0000000E">
      <w:pPr>
        <w:spacing w:before="240" w:line="276" w:lineRule="auto"/>
        <w:jc w:val="both"/>
        <w:rPr>
          <w:rFonts w:ascii="Rubik" w:cs="Rubik" w:eastAsia="Rubik" w:hAnsi="Rubik"/>
          <w:b w:val="1"/>
          <w:color w:val="333333"/>
          <w:highlight w:val="white"/>
          <w:u w:val="single"/>
        </w:rPr>
      </w:pPr>
      <w:r w:rsidDel="00000000" w:rsidR="00000000" w:rsidRPr="00000000">
        <w:rPr>
          <w:rFonts w:ascii="Rubik" w:cs="Rubik" w:eastAsia="Rubik" w:hAnsi="Rubik"/>
          <w:b w:val="1"/>
          <w:color w:val="333333"/>
          <w:highlight w:val="white"/>
          <w:u w:val="single"/>
          <w:rtl w:val="0"/>
        </w:rPr>
        <w:t xml:space="preserve">Los ordenadores consiguieron ahorrar más de 2 millones de botellas de plástico, contribuyendo al ahorro medioambiental  </w:t>
      </w:r>
    </w:p>
    <w:p w:rsidR="00000000" w:rsidDel="00000000" w:rsidP="00000000" w:rsidRDefault="00000000" w:rsidRPr="00000000" w14:paraId="0000000F">
      <w:pPr>
        <w:spacing w:before="240" w:line="276" w:lineRule="auto"/>
        <w:jc w:val="both"/>
        <w:rPr>
          <w:rFonts w:ascii="Rubik" w:cs="Rubik" w:eastAsia="Rubik" w:hAnsi="Rubik"/>
          <w:color w:val="333333"/>
          <w:highlight w:val="white"/>
        </w:rPr>
      </w:pPr>
      <w:r w:rsidDel="00000000" w:rsidR="00000000" w:rsidRPr="00000000">
        <w:rPr>
          <w:rFonts w:ascii="Rubik" w:cs="Rubik" w:eastAsia="Rubik" w:hAnsi="Rubik"/>
          <w:color w:val="333333"/>
          <w:highlight w:val="white"/>
          <w:rtl w:val="0"/>
        </w:rPr>
        <w:t xml:space="preserve">La categoría de ‘</w:t>
      </w:r>
      <w:r w:rsidDel="00000000" w:rsidR="00000000" w:rsidRPr="00000000">
        <w:rPr>
          <w:rFonts w:ascii="Rubik" w:cs="Rubik" w:eastAsia="Rubik" w:hAnsi="Rubik"/>
          <w:b w:val="1"/>
          <w:color w:val="333333"/>
          <w:highlight w:val="white"/>
          <w:rtl w:val="0"/>
        </w:rPr>
        <w:t xml:space="preserve">Informática’ </w:t>
      </w:r>
      <w:r w:rsidDel="00000000" w:rsidR="00000000" w:rsidRPr="00000000">
        <w:rPr>
          <w:rFonts w:ascii="Rubik" w:cs="Rubik" w:eastAsia="Rubik" w:hAnsi="Rubik"/>
          <w:color w:val="333333"/>
          <w:highlight w:val="white"/>
          <w:rtl w:val="0"/>
        </w:rPr>
        <w:t xml:space="preserve">supuso un ahorro potencial de</w:t>
      </w:r>
      <w:r w:rsidDel="00000000" w:rsidR="00000000" w:rsidRPr="00000000">
        <w:rPr>
          <w:rFonts w:ascii="Rubik" w:cs="Rubik" w:eastAsia="Rubik" w:hAnsi="Rubik"/>
          <w:b w:val="1"/>
          <w:color w:val="333333"/>
          <w:highlight w:val="white"/>
          <w:rtl w:val="0"/>
        </w:rPr>
        <w:t xml:space="preserve"> 2.080.735 botellas de plástico durante el 2023,</w:t>
      </w:r>
      <w:r w:rsidDel="00000000" w:rsidR="00000000" w:rsidRPr="00000000">
        <w:rPr>
          <w:rFonts w:ascii="Rubik" w:cs="Rubik" w:eastAsia="Rubik" w:hAnsi="Rubik"/>
          <w:color w:val="333333"/>
          <w:highlight w:val="white"/>
          <w:rtl w:val="0"/>
        </w:rPr>
        <w:t xml:space="preserve"> lo que equivale al consumo eléctrico de 1.942 hogares en España o a las emisiones que generan hasta 792,13 viajes ida y vuelta de Madrid a Nueva York. </w:t>
      </w:r>
    </w:p>
    <w:p w:rsidR="00000000" w:rsidDel="00000000" w:rsidP="00000000" w:rsidRDefault="00000000" w:rsidRPr="00000000" w14:paraId="00000010">
      <w:pPr>
        <w:spacing w:before="240" w:line="276" w:lineRule="auto"/>
        <w:jc w:val="both"/>
        <w:rPr>
          <w:rFonts w:ascii="Rubik" w:cs="Rubik" w:eastAsia="Rubik" w:hAnsi="Rubik"/>
          <w:color w:val="333333"/>
          <w:highlight w:val="white"/>
        </w:rPr>
      </w:pPr>
      <w:r w:rsidDel="00000000" w:rsidR="00000000" w:rsidRPr="00000000">
        <w:rPr>
          <w:rFonts w:ascii="Rubik" w:cs="Rubik" w:eastAsia="Rubik" w:hAnsi="Rubik"/>
          <w:color w:val="333333"/>
          <w:highlight w:val="white"/>
          <w:rtl w:val="0"/>
        </w:rPr>
        <w:t xml:space="preserve">En esta categoría, los productos relacionados con </w:t>
      </w:r>
      <w:r w:rsidDel="00000000" w:rsidR="00000000" w:rsidRPr="00000000">
        <w:rPr>
          <w:rFonts w:ascii="Rubik" w:cs="Rubik" w:eastAsia="Rubik" w:hAnsi="Rubik"/>
          <w:b w:val="1"/>
          <w:color w:val="333333"/>
          <w:highlight w:val="white"/>
          <w:rtl w:val="0"/>
        </w:rPr>
        <w:t xml:space="preserve">ordenadores </w:t>
      </w:r>
      <w:r w:rsidDel="00000000" w:rsidR="00000000" w:rsidRPr="00000000">
        <w:rPr>
          <w:rFonts w:ascii="Rubik" w:cs="Rubik" w:eastAsia="Rubik" w:hAnsi="Rubik"/>
          <w:color w:val="333333"/>
          <w:highlight w:val="white"/>
          <w:rtl w:val="0"/>
        </w:rPr>
        <w:t xml:space="preserve">-siendo estos de mesa y portátiles-,</w:t>
      </w:r>
      <w:r w:rsidDel="00000000" w:rsidR="00000000" w:rsidRPr="00000000">
        <w:rPr>
          <w:rFonts w:ascii="Rubik" w:cs="Rubik" w:eastAsia="Rubik" w:hAnsi="Rubik"/>
          <w:b w:val="1"/>
          <w:color w:val="333333"/>
          <w:highlight w:val="white"/>
          <w:rtl w:val="0"/>
        </w:rPr>
        <w:t xml:space="preserve"> lideran el ránking de productos más sostenibles con un total de 2.183.318 botellas de plástico ahorradas, equivalente a 1.419 kilos de CO2.</w:t>
      </w:r>
      <w:r w:rsidDel="00000000" w:rsidR="00000000" w:rsidRPr="00000000">
        <w:rPr>
          <w:rFonts w:ascii="Rubik" w:cs="Rubik" w:eastAsia="Rubik" w:hAnsi="Rubik"/>
          <w:color w:val="333333"/>
          <w:highlight w:val="white"/>
          <w:rtl w:val="0"/>
        </w:rPr>
        <w:t xml:space="preserve"> Asimismo, tras estos productos, destacan los englobados en accesorios de informática -procesadores, placa base, tarjeta gráfica, fundas de ordenador, teclados y grabadoras- con un total de 422.619 botellas de plástico.  </w:t>
      </w:r>
    </w:p>
    <w:p w:rsidR="00000000" w:rsidDel="00000000" w:rsidP="00000000" w:rsidRDefault="00000000" w:rsidRPr="00000000" w14:paraId="00000011">
      <w:pPr>
        <w:spacing w:before="240" w:line="276" w:lineRule="auto"/>
        <w:jc w:val="both"/>
        <w:rPr>
          <w:rFonts w:ascii="Rubik" w:cs="Rubik" w:eastAsia="Rubik" w:hAnsi="Rubik"/>
          <w:b w:val="1"/>
          <w:color w:val="333333"/>
          <w:highlight w:val="white"/>
        </w:rPr>
      </w:pPr>
      <w:bookmarkStart w:colFirst="0" w:colLast="0" w:name="_heading=h.ofy4aipkkjjt" w:id="1"/>
      <w:bookmarkEnd w:id="1"/>
      <w:r w:rsidDel="00000000" w:rsidR="00000000" w:rsidRPr="00000000">
        <w:rPr>
          <w:rFonts w:ascii="Rubik" w:cs="Rubik" w:eastAsia="Rubik" w:hAnsi="Rubik"/>
          <w:color w:val="171d20"/>
          <w:rtl w:val="0"/>
        </w:rPr>
        <w:t xml:space="preserve">Además, por primera vez, Milanuncios ha analizado en el Informe ‘Cierra el círculo 2023’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color w:val="171d20"/>
          <w:rtl w:val="0"/>
        </w:rPr>
        <w:t xml:space="preserve"> que haber encontrado estos artículos en la plataforma de segunda mano evitó que compraran estos productos nuevos. Así, tras estos productos, en la categoría de ‘Informática’ destaca cómo el </w:t>
      </w:r>
      <w:r w:rsidDel="00000000" w:rsidR="00000000" w:rsidRPr="00000000">
        <w:rPr>
          <w:rFonts w:ascii="Rubik" w:cs="Rubik" w:eastAsia="Rubik" w:hAnsi="Rubik"/>
          <w:b w:val="1"/>
          <w:color w:val="171d20"/>
          <w:rtl w:val="0"/>
        </w:rPr>
        <w:t xml:space="preserve">45% de los usuarios decidió recurrir al mercado de la segunda mano para adquirir productos reutilizados. </w:t>
      </w:r>
      <w:r w:rsidDel="00000000" w:rsidR="00000000" w:rsidRPr="00000000">
        <w:rPr>
          <w:rtl w:val="0"/>
        </w:rPr>
      </w:r>
    </w:p>
    <w:p w:rsidR="00000000" w:rsidDel="00000000" w:rsidP="00000000" w:rsidRDefault="00000000" w:rsidRPr="00000000" w14:paraId="00000012">
      <w:pPr>
        <w:spacing w:before="240" w:line="276" w:lineRule="auto"/>
        <w:jc w:val="both"/>
        <w:rPr>
          <w:rFonts w:ascii="Rubik" w:cs="Rubik" w:eastAsia="Rubik" w:hAnsi="Rubik"/>
          <w:i w:val="1"/>
          <w:color w:val="171d20"/>
        </w:rPr>
      </w:pPr>
      <w:bookmarkStart w:colFirst="0" w:colLast="0" w:name="_heading=h.ceqfsvdi3ehy" w:id="2"/>
      <w:bookmarkEnd w:id="2"/>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señalando que muchos usuarios que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p>
    <w:p w:rsidR="00000000" w:rsidDel="00000000" w:rsidP="00000000" w:rsidRDefault="00000000" w:rsidRPr="00000000" w14:paraId="00000013">
      <w:pPr>
        <w:spacing w:before="240" w:line="276" w:lineRule="auto"/>
        <w:jc w:val="both"/>
        <w:rPr>
          <w:rFonts w:ascii="Rubik" w:cs="Rubik" w:eastAsia="Rubik" w:hAnsi="Rubik"/>
          <w:i w:val="1"/>
          <w:color w:val="171d20"/>
        </w:rPr>
      </w:pPr>
      <w:bookmarkStart w:colFirst="0" w:colLast="0" w:name="_heading=h.xgnuc6ewa52b" w:id="3"/>
      <w:bookmarkEnd w:id="3"/>
      <w:r w:rsidDel="00000000" w:rsidR="00000000" w:rsidRPr="00000000">
        <w:rPr>
          <w:rtl w:val="0"/>
        </w:rPr>
      </w:r>
    </w:p>
    <w:p w:rsidR="00000000" w:rsidDel="00000000" w:rsidP="00000000" w:rsidRDefault="00000000" w:rsidRPr="00000000" w14:paraId="00000014">
      <w:pPr>
        <w:spacing w:line="276" w:lineRule="auto"/>
        <w:jc w:val="both"/>
        <w:rPr>
          <w:rFonts w:ascii="Rubik" w:cs="Rubik" w:eastAsia="Rubik" w:hAnsi="Rubik"/>
          <w:b w:val="1"/>
          <w:color w:val="171d20"/>
        </w:rPr>
      </w:pPr>
      <w:r w:rsidDel="00000000" w:rsidR="00000000" w:rsidRPr="00000000">
        <w:rPr>
          <w:rtl w:val="0"/>
        </w:rPr>
      </w:r>
    </w:p>
    <w:p w:rsidR="00000000" w:rsidDel="00000000" w:rsidP="00000000" w:rsidRDefault="00000000" w:rsidRPr="00000000" w14:paraId="00000015">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6">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7">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18">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19">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1A">
      <w:pPr>
        <w:spacing w:line="276" w:lineRule="auto"/>
        <w:jc w:val="both"/>
        <w:rPr>
          <w:rFonts w:ascii="Rubik" w:cs="Rubik" w:eastAsia="Rubik" w:hAnsi="Rubik"/>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pY18UEpo1uujTZMKN+Q8a5QMw==">CgMxLjAyCWguMWZvYjl0ZTIOaC5vZnk0YWlwa2tqanQyDmguY2VxZnN2ZGkzZWh5Mg5oLnhnbnVjNmV3YTUyYjgAciExZTZ2WlIwbTJmNkp0N1FmUHI2cEc4bm81M1FlQ3Z1eWk=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